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9B" w:rsidRDefault="00AB2E93" w:rsidP="00D267FE">
      <w:pPr>
        <w:pStyle w:val="a3"/>
        <w:spacing w:before="22"/>
        <w:rPr>
          <w:rFonts w:ascii="黑体" w:hAnsi="黑体" w:cs="黑体"/>
          <w:b/>
          <w:bCs/>
          <w:sz w:val="30"/>
          <w:szCs w:val="30"/>
          <w:lang w:eastAsia="zh-CN"/>
        </w:rPr>
      </w:pPr>
      <w:r>
        <w:rPr>
          <w:rFonts w:ascii="黑体" w:hAnsi="黑体" w:cs="黑体" w:hint="eastAsia"/>
          <w:b/>
          <w:bCs/>
          <w:sz w:val="30"/>
          <w:szCs w:val="30"/>
          <w:lang w:eastAsia="zh-CN"/>
        </w:rPr>
        <w:t>附件</w:t>
      </w:r>
      <w:r w:rsidR="000F5F72">
        <w:rPr>
          <w:rFonts w:ascii="黑体" w:hAnsi="黑体" w:cs="黑体"/>
          <w:b/>
          <w:bCs/>
          <w:sz w:val="30"/>
          <w:szCs w:val="30"/>
          <w:lang w:eastAsia="zh-CN"/>
        </w:rPr>
        <w:t>1</w:t>
      </w:r>
    </w:p>
    <w:p w:rsidR="00AB2E93" w:rsidRPr="00810B9B" w:rsidRDefault="00AB2E93" w:rsidP="000F5F72">
      <w:pPr>
        <w:pStyle w:val="a3"/>
        <w:spacing w:before="22" w:afterLines="100"/>
        <w:ind w:left="427"/>
        <w:jc w:val="center"/>
        <w:rPr>
          <w:rFonts w:ascii="Times New Roman" w:hAnsi="Times New Roman"/>
          <w:b/>
          <w:bCs/>
          <w:sz w:val="30"/>
          <w:szCs w:val="30"/>
          <w:lang w:eastAsia="zh-CN"/>
        </w:rPr>
      </w:pPr>
      <w:r>
        <w:rPr>
          <w:rFonts w:cs="宋体" w:hint="eastAsia"/>
          <w:b/>
          <w:bCs/>
          <w:lang w:eastAsia="zh-CN"/>
        </w:rPr>
        <w:t>实验室安全检查项目表</w:t>
      </w:r>
    </w:p>
    <w:p w:rsidR="00AB2E93" w:rsidRDefault="00AB2E93">
      <w:pPr>
        <w:spacing w:before="10"/>
        <w:rPr>
          <w:rFonts w:ascii="宋体" w:cs="宋体"/>
          <w:sz w:val="3"/>
          <w:szCs w:val="3"/>
          <w:lang w:eastAsia="zh-CN"/>
        </w:rPr>
      </w:pPr>
    </w:p>
    <w:tbl>
      <w:tblPr>
        <w:tblW w:w="9485" w:type="dxa"/>
        <w:tblInd w:w="102" w:type="dxa"/>
        <w:tblLayout w:type="fixed"/>
        <w:tblCellMar>
          <w:left w:w="0" w:type="dxa"/>
          <w:right w:w="0" w:type="dxa"/>
        </w:tblCellMar>
        <w:tblLook w:val="00A0"/>
      </w:tblPr>
      <w:tblGrid>
        <w:gridCol w:w="649"/>
        <w:gridCol w:w="13"/>
        <w:gridCol w:w="25"/>
        <w:gridCol w:w="4950"/>
        <w:gridCol w:w="406"/>
        <w:gridCol w:w="419"/>
        <w:gridCol w:w="448"/>
        <w:gridCol w:w="2575"/>
      </w:tblGrid>
      <w:tr w:rsidR="00AB2E93">
        <w:trPr>
          <w:trHeight w:hRule="exact" w:val="352"/>
        </w:trPr>
        <w:tc>
          <w:tcPr>
            <w:tcW w:w="662" w:type="dxa"/>
            <w:gridSpan w:val="2"/>
            <w:vMerge w:val="restart"/>
            <w:tcBorders>
              <w:top w:val="single" w:sz="4" w:space="0" w:color="000000"/>
              <w:left w:val="single" w:sz="4" w:space="0" w:color="000000"/>
              <w:right w:val="single" w:sz="4" w:space="0" w:color="000000"/>
            </w:tcBorders>
          </w:tcPr>
          <w:p w:rsidR="00AB2E93" w:rsidRDefault="00AB2E93">
            <w:pPr>
              <w:pStyle w:val="TableParagraph"/>
              <w:rPr>
                <w:rFonts w:ascii="宋体" w:cs="宋体"/>
                <w:sz w:val="20"/>
                <w:szCs w:val="20"/>
                <w:lang w:eastAsia="zh-CN"/>
              </w:rPr>
            </w:pPr>
          </w:p>
          <w:p w:rsidR="00AB2E93" w:rsidRDefault="00AB2E93">
            <w:pPr>
              <w:pStyle w:val="TableParagraph"/>
              <w:spacing w:before="6"/>
              <w:rPr>
                <w:rFonts w:ascii="宋体" w:cs="宋体"/>
                <w:lang w:eastAsia="zh-CN"/>
              </w:rPr>
            </w:pPr>
          </w:p>
          <w:p w:rsidR="00AB2E93" w:rsidRDefault="00AB2E93">
            <w:pPr>
              <w:pStyle w:val="TableParagraph"/>
              <w:ind w:left="222"/>
              <w:rPr>
                <w:rFonts w:ascii="宋体" w:cs="宋体"/>
                <w:sz w:val="21"/>
                <w:szCs w:val="21"/>
              </w:rPr>
            </w:pPr>
            <w:proofErr w:type="spellStart"/>
            <w:r>
              <w:rPr>
                <w:rFonts w:ascii="宋体" w:hAnsi="宋体" w:cs="宋体" w:hint="eastAsia"/>
                <w:b/>
                <w:bCs/>
                <w:sz w:val="21"/>
                <w:szCs w:val="21"/>
              </w:rPr>
              <w:t>序号</w:t>
            </w:r>
            <w:proofErr w:type="spellEnd"/>
          </w:p>
        </w:tc>
        <w:tc>
          <w:tcPr>
            <w:tcW w:w="4975" w:type="dxa"/>
            <w:gridSpan w:val="2"/>
            <w:vMerge w:val="restart"/>
            <w:tcBorders>
              <w:top w:val="single" w:sz="4" w:space="0" w:color="000000"/>
              <w:left w:val="single" w:sz="4" w:space="0" w:color="000000"/>
              <w:right w:val="single" w:sz="4" w:space="0" w:color="000000"/>
            </w:tcBorders>
          </w:tcPr>
          <w:p w:rsidR="00AB2E93" w:rsidRDefault="00AB2E93">
            <w:pPr>
              <w:pStyle w:val="TableParagraph"/>
              <w:rPr>
                <w:rFonts w:ascii="宋体" w:cs="宋体"/>
                <w:sz w:val="20"/>
                <w:szCs w:val="20"/>
              </w:rPr>
            </w:pPr>
          </w:p>
          <w:p w:rsidR="00AB2E93" w:rsidRDefault="00AB2E93">
            <w:pPr>
              <w:pStyle w:val="TableParagraph"/>
              <w:spacing w:before="6"/>
              <w:rPr>
                <w:rFonts w:ascii="宋体" w:cs="宋体"/>
              </w:rPr>
            </w:pPr>
          </w:p>
          <w:p w:rsidR="00AB2E93" w:rsidRDefault="00AB2E93">
            <w:pPr>
              <w:pStyle w:val="TableParagraph"/>
              <w:jc w:val="center"/>
              <w:rPr>
                <w:rFonts w:ascii="宋体" w:cs="宋体"/>
                <w:sz w:val="21"/>
                <w:szCs w:val="21"/>
              </w:rPr>
            </w:pPr>
            <w:proofErr w:type="spellStart"/>
            <w:r>
              <w:rPr>
                <w:rFonts w:ascii="宋体" w:hAnsi="宋体" w:cs="宋体" w:hint="eastAsia"/>
                <w:b/>
                <w:bCs/>
                <w:sz w:val="21"/>
                <w:szCs w:val="21"/>
              </w:rPr>
              <w:t>检查项目</w:t>
            </w:r>
            <w:proofErr w:type="spellEnd"/>
          </w:p>
        </w:tc>
        <w:tc>
          <w:tcPr>
            <w:tcW w:w="3848" w:type="dxa"/>
            <w:gridSpan w:val="4"/>
            <w:tcBorders>
              <w:top w:val="single" w:sz="4" w:space="0" w:color="000000"/>
              <w:left w:val="single" w:sz="4" w:space="0" w:color="000000"/>
              <w:bottom w:val="single" w:sz="4" w:space="0" w:color="000000"/>
              <w:right w:val="single" w:sz="4" w:space="0" w:color="000000"/>
            </w:tcBorders>
          </w:tcPr>
          <w:p w:rsidR="00AB2E93" w:rsidRDefault="00AB2E93">
            <w:pPr>
              <w:pStyle w:val="TableParagraph"/>
              <w:spacing w:line="272" w:lineRule="exact"/>
              <w:jc w:val="center"/>
              <w:rPr>
                <w:rFonts w:ascii="宋体" w:cs="宋体"/>
                <w:sz w:val="21"/>
                <w:szCs w:val="21"/>
              </w:rPr>
            </w:pPr>
            <w:proofErr w:type="spellStart"/>
            <w:r>
              <w:rPr>
                <w:rFonts w:ascii="宋体" w:hAnsi="宋体" w:cs="宋体" w:hint="eastAsia"/>
                <w:b/>
                <w:bCs/>
                <w:sz w:val="21"/>
                <w:szCs w:val="21"/>
              </w:rPr>
              <w:t>检查结果</w:t>
            </w:r>
            <w:proofErr w:type="spellEnd"/>
          </w:p>
        </w:tc>
      </w:tr>
      <w:tr w:rsidR="00AB2E93" w:rsidTr="00064121">
        <w:trPr>
          <w:trHeight w:hRule="exact" w:val="1153"/>
        </w:trPr>
        <w:tc>
          <w:tcPr>
            <w:tcW w:w="662" w:type="dxa"/>
            <w:gridSpan w:val="2"/>
            <w:vMerge/>
            <w:tcBorders>
              <w:left w:val="single" w:sz="4" w:space="0" w:color="000000"/>
              <w:bottom w:val="single" w:sz="4" w:space="0" w:color="000000"/>
              <w:right w:val="single" w:sz="4" w:space="0" w:color="000000"/>
            </w:tcBorders>
          </w:tcPr>
          <w:p w:rsidR="00AB2E93" w:rsidRDefault="00AB2E93"/>
        </w:tc>
        <w:tc>
          <w:tcPr>
            <w:tcW w:w="4975" w:type="dxa"/>
            <w:gridSpan w:val="2"/>
            <w:vMerge/>
            <w:tcBorders>
              <w:left w:val="single" w:sz="4" w:space="0" w:color="000000"/>
              <w:bottom w:val="single" w:sz="4" w:space="0" w:color="000000"/>
              <w:right w:val="single" w:sz="4" w:space="0" w:color="000000"/>
            </w:tcBorders>
          </w:tcPr>
          <w:p w:rsidR="00AB2E93" w:rsidRDefault="00AB2E93"/>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pStyle w:val="TableParagraph"/>
              <w:spacing w:before="159" w:line="420" w:lineRule="auto"/>
              <w:ind w:left="91" w:right="92"/>
              <w:rPr>
                <w:rFonts w:ascii="宋体" w:cs="宋体"/>
                <w:sz w:val="21"/>
                <w:szCs w:val="21"/>
              </w:rPr>
            </w:pPr>
            <w:proofErr w:type="spellStart"/>
            <w:r>
              <w:rPr>
                <w:rFonts w:ascii="宋体" w:hAnsi="宋体" w:cs="宋体" w:hint="eastAsia"/>
                <w:b/>
                <w:bCs/>
                <w:sz w:val="21"/>
                <w:szCs w:val="21"/>
              </w:rPr>
              <w:t>符合</w:t>
            </w:r>
            <w:proofErr w:type="spellEnd"/>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pStyle w:val="TableParagraph"/>
              <w:spacing w:before="92" w:line="240" w:lineRule="exact"/>
              <w:ind w:left="98" w:right="98"/>
              <w:jc w:val="both"/>
              <w:rPr>
                <w:rFonts w:ascii="宋体" w:cs="宋体"/>
                <w:sz w:val="21"/>
                <w:szCs w:val="21"/>
              </w:rPr>
            </w:pPr>
            <w:proofErr w:type="spellStart"/>
            <w:r>
              <w:rPr>
                <w:rFonts w:ascii="宋体" w:hAnsi="宋体" w:cs="宋体" w:hint="eastAsia"/>
                <w:b/>
                <w:bCs/>
                <w:sz w:val="21"/>
                <w:szCs w:val="21"/>
              </w:rPr>
              <w:t>基本符合</w:t>
            </w:r>
            <w:proofErr w:type="spellEnd"/>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pStyle w:val="TableParagraph"/>
              <w:spacing w:before="3"/>
              <w:rPr>
                <w:rFonts w:ascii="宋体" w:cs="宋体"/>
                <w:sz w:val="16"/>
                <w:szCs w:val="16"/>
              </w:rPr>
            </w:pPr>
          </w:p>
          <w:p w:rsidR="00AB2E93" w:rsidRDefault="00AB2E93">
            <w:pPr>
              <w:pStyle w:val="TableParagraph"/>
              <w:spacing w:line="240" w:lineRule="exact"/>
              <w:ind w:left="112" w:right="113"/>
              <w:jc w:val="both"/>
              <w:rPr>
                <w:rFonts w:ascii="宋体" w:cs="宋体"/>
                <w:sz w:val="21"/>
                <w:szCs w:val="21"/>
              </w:rPr>
            </w:pPr>
            <w:proofErr w:type="spellStart"/>
            <w:r>
              <w:rPr>
                <w:rFonts w:ascii="宋体" w:hAnsi="宋体" w:cs="宋体" w:hint="eastAsia"/>
                <w:b/>
                <w:bCs/>
                <w:sz w:val="21"/>
                <w:szCs w:val="21"/>
              </w:rPr>
              <w:t>不符合</w:t>
            </w:r>
            <w:proofErr w:type="spellEnd"/>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pStyle w:val="TableParagraph"/>
              <w:spacing w:before="3"/>
              <w:rPr>
                <w:rFonts w:ascii="宋体" w:cs="宋体"/>
                <w:sz w:val="16"/>
                <w:szCs w:val="16"/>
              </w:rPr>
            </w:pPr>
          </w:p>
          <w:p w:rsidR="00AB2E93" w:rsidRDefault="00AB2E93">
            <w:pPr>
              <w:pStyle w:val="TableParagraph"/>
              <w:spacing w:before="137"/>
              <w:ind w:left="658"/>
              <w:rPr>
                <w:rFonts w:ascii="宋体" w:cs="宋体"/>
                <w:sz w:val="21"/>
                <w:szCs w:val="21"/>
              </w:rPr>
            </w:pPr>
            <w:proofErr w:type="spellStart"/>
            <w:r>
              <w:rPr>
                <w:rFonts w:ascii="宋体" w:hAnsi="宋体" w:cs="宋体" w:hint="eastAsia"/>
                <w:b/>
                <w:bCs/>
                <w:sz w:val="21"/>
                <w:szCs w:val="21"/>
              </w:rPr>
              <w:t>问题说明</w:t>
            </w:r>
            <w:proofErr w:type="spellEnd"/>
          </w:p>
        </w:tc>
      </w:tr>
      <w:tr w:rsidR="00AB2E93">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t>1</w:t>
            </w:r>
          </w:p>
        </w:tc>
        <w:tc>
          <w:tcPr>
            <w:tcW w:w="8823" w:type="dxa"/>
            <w:gridSpan w:val="6"/>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b/>
                <w:bCs/>
                <w:sz w:val="21"/>
                <w:szCs w:val="21"/>
                <w:lang w:eastAsia="zh-CN"/>
              </w:rPr>
              <w:t>实验室安全管理三级责任人体系建设</w:t>
            </w:r>
          </w:p>
        </w:tc>
      </w:tr>
      <w:tr w:rsidR="00AB2E93" w:rsidTr="003330E8">
        <w:trPr>
          <w:trHeight w:hRule="exact" w:val="1115"/>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1.</w:t>
            </w:r>
            <w:r>
              <w:rPr>
                <w:rFonts w:ascii="Times New Roman"/>
                <w:sz w:val="21"/>
                <w:lang w:eastAsia="zh-CN"/>
              </w:rPr>
              <w:t>1</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rsidP="008B4607">
            <w:pPr>
              <w:pStyle w:val="TableParagraph"/>
              <w:spacing w:line="272" w:lineRule="exact"/>
              <w:ind w:left="22"/>
              <w:rPr>
                <w:rFonts w:ascii="宋体" w:cs="宋体"/>
                <w:sz w:val="21"/>
                <w:szCs w:val="21"/>
                <w:lang w:eastAsia="zh-CN"/>
              </w:rPr>
            </w:pPr>
            <w:r>
              <w:rPr>
                <w:rFonts w:ascii="宋体" w:hAnsi="宋体" w:cs="宋体" w:hint="eastAsia"/>
                <w:sz w:val="21"/>
                <w:szCs w:val="21"/>
                <w:lang w:eastAsia="zh-CN"/>
              </w:rPr>
              <w:t>学院一把手为本单位实验室管理主体</w:t>
            </w:r>
            <w:r>
              <w:rPr>
                <w:rFonts w:ascii="宋体" w:cs="宋体" w:hint="eastAsia"/>
                <w:sz w:val="21"/>
                <w:szCs w:val="21"/>
                <w:lang w:eastAsia="zh-CN"/>
              </w:rPr>
              <w:t>责任人。学院</w:t>
            </w:r>
            <w:r>
              <w:rPr>
                <w:rFonts w:ascii="宋体" w:hAnsi="宋体" w:cs="宋体" w:hint="eastAsia"/>
                <w:sz w:val="21"/>
                <w:szCs w:val="21"/>
                <w:lang w:eastAsia="zh-CN"/>
              </w:rPr>
              <w:t>成立实验室安全领导小组，由党政一把手挂帅，实验室负责人参加，与保卫处</w:t>
            </w:r>
            <w:r>
              <w:rPr>
                <w:rFonts w:ascii="宋体" w:cs="宋体" w:hint="eastAsia"/>
                <w:sz w:val="21"/>
                <w:szCs w:val="21"/>
                <w:lang w:eastAsia="zh-CN"/>
              </w:rPr>
              <w:t>签订安全管理责任书</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913FD3">
        <w:trPr>
          <w:trHeight w:hRule="exact" w:val="56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144"/>
              <w:ind w:left="24"/>
              <w:jc w:val="both"/>
              <w:rPr>
                <w:rFonts w:ascii="Times New Roman" w:hAnsi="Times New Roman"/>
                <w:sz w:val="21"/>
                <w:szCs w:val="21"/>
              </w:rPr>
            </w:pPr>
            <w:r>
              <w:rPr>
                <w:rFonts w:ascii="Times New Roman"/>
                <w:sz w:val="21"/>
              </w:rPr>
              <w:t>1.</w:t>
            </w:r>
            <w:r>
              <w:rPr>
                <w:rFonts w:ascii="Times New Roman"/>
                <w:sz w:val="21"/>
                <w:lang w:eastAsia="zh-CN"/>
              </w:rPr>
              <w:t>2</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宋体" w:cs="宋体"/>
                <w:sz w:val="21"/>
                <w:szCs w:val="21"/>
                <w:lang w:eastAsia="zh-CN"/>
              </w:rPr>
            </w:pPr>
            <w:r>
              <w:rPr>
                <w:rFonts w:ascii="宋体" w:hAnsi="宋体" w:cs="宋体" w:hint="eastAsia"/>
                <w:sz w:val="21"/>
                <w:szCs w:val="21"/>
                <w:lang w:eastAsia="zh-CN"/>
              </w:rPr>
              <w:t>实验室负责人对所属实验室安全管理负全责，建立有研究所层面的安全责任体系。</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E92A8C">
        <w:trPr>
          <w:trHeight w:hRule="exact" w:val="579"/>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1.3</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每间实验室安排有专门的安全管理责任人，责任人信息公示上墙。</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t>2</w:t>
            </w:r>
          </w:p>
        </w:tc>
        <w:tc>
          <w:tcPr>
            <w:tcW w:w="8823" w:type="dxa"/>
            <w:gridSpan w:val="6"/>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r>
              <w:rPr>
                <w:rFonts w:ascii="宋体" w:hAnsi="宋体" w:cs="宋体" w:hint="eastAsia"/>
                <w:b/>
                <w:bCs/>
                <w:sz w:val="21"/>
                <w:szCs w:val="21"/>
                <w:lang w:eastAsia="zh-CN"/>
              </w:rPr>
              <w:t>实验室</w:t>
            </w:r>
            <w:proofErr w:type="spellStart"/>
            <w:r>
              <w:rPr>
                <w:rFonts w:ascii="宋体" w:hAnsi="宋体" w:cs="宋体" w:hint="eastAsia"/>
                <w:b/>
                <w:bCs/>
                <w:sz w:val="21"/>
                <w:szCs w:val="21"/>
              </w:rPr>
              <w:t>规章制度</w:t>
            </w:r>
            <w:proofErr w:type="spellEnd"/>
          </w:p>
        </w:tc>
      </w:tr>
      <w:tr w:rsidR="00AB2E93" w:rsidTr="008D6027">
        <w:trPr>
          <w:trHeight w:hRule="exact" w:val="39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Cs/>
                <w:sz w:val="21"/>
              </w:rPr>
              <w:t>2.1</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有实验室安全管理办法</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156B5D">
        <w:trPr>
          <w:trHeight w:hRule="exact" w:val="54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2.</w:t>
            </w:r>
            <w:r>
              <w:rPr>
                <w:rFonts w:ascii="Times New Roman"/>
                <w:sz w:val="21"/>
                <w:lang w:eastAsia="zh-CN"/>
              </w:rPr>
              <w:t>2</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有化学品、生物、辐射、仪器设备、废物处理、安全教育等安全管理制度</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7130A7">
        <w:trPr>
          <w:trHeight w:hRule="exact" w:val="415"/>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2.</w:t>
            </w:r>
            <w:r>
              <w:rPr>
                <w:rFonts w:ascii="Times New Roman"/>
                <w:sz w:val="21"/>
                <w:lang w:eastAsia="zh-CN"/>
              </w:rPr>
              <w:t>3</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有应急预案（包括化学品、生物、辐射等）</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95113B">
        <w:trPr>
          <w:trHeight w:hRule="exact" w:val="54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2.</w:t>
            </w:r>
            <w:r>
              <w:rPr>
                <w:rFonts w:ascii="Times New Roman"/>
                <w:sz w:val="21"/>
                <w:lang w:eastAsia="zh-CN"/>
              </w:rPr>
              <w:t>4</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有实验室安全检查制度，并建立实验室安全检查与值班</w:t>
            </w:r>
            <w:proofErr w:type="gramStart"/>
            <w:r>
              <w:rPr>
                <w:rFonts w:ascii="宋体" w:hAnsi="宋体" w:cs="宋体" w:hint="eastAsia"/>
                <w:sz w:val="21"/>
                <w:szCs w:val="21"/>
                <w:lang w:eastAsia="zh-CN"/>
              </w:rPr>
              <w:t>值日台</w:t>
            </w:r>
            <w:proofErr w:type="gramEnd"/>
            <w:r>
              <w:rPr>
                <w:rFonts w:ascii="宋体" w:hAnsi="宋体" w:cs="宋体" w:hint="eastAsia"/>
                <w:sz w:val="21"/>
                <w:szCs w:val="21"/>
                <w:lang w:eastAsia="zh-CN"/>
              </w:rPr>
              <w:t>账，且记录规范</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5249DC">
        <w:trPr>
          <w:trHeight w:hRule="exact" w:val="573"/>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sz w:val="21"/>
                <w:lang w:eastAsia="zh-CN"/>
              </w:rPr>
            </w:pPr>
            <w:r>
              <w:rPr>
                <w:rFonts w:ascii="Times New Roman"/>
                <w:sz w:val="21"/>
                <w:lang w:eastAsia="zh-CN"/>
              </w:rPr>
              <w:t>2.5</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对于检查发现存在问题的，有合适的方式通知被查实验室，如网上公示、整改通知书等</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341803">
        <w:trPr>
          <w:trHeight w:hRule="exact" w:val="42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sz w:val="21"/>
                <w:lang w:eastAsia="zh-CN"/>
              </w:rPr>
            </w:pPr>
            <w:r>
              <w:rPr>
                <w:rFonts w:ascii="Times New Roman"/>
                <w:sz w:val="21"/>
                <w:lang w:eastAsia="zh-CN"/>
              </w:rPr>
              <w:t>2.6</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检查出的问题得到及时的整改，有记录</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t>3</w:t>
            </w:r>
          </w:p>
        </w:tc>
        <w:tc>
          <w:tcPr>
            <w:tcW w:w="8823" w:type="dxa"/>
            <w:gridSpan w:val="6"/>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r>
              <w:rPr>
                <w:rFonts w:ascii="宋体" w:hAnsi="宋体" w:cs="宋体" w:hint="eastAsia"/>
                <w:b/>
                <w:bCs/>
                <w:sz w:val="21"/>
                <w:szCs w:val="21"/>
                <w:lang w:eastAsia="zh-CN"/>
              </w:rPr>
              <w:t>实验室</w:t>
            </w:r>
            <w:proofErr w:type="spellStart"/>
            <w:r>
              <w:rPr>
                <w:rFonts w:ascii="宋体" w:hAnsi="宋体" w:cs="宋体" w:hint="eastAsia"/>
                <w:b/>
                <w:bCs/>
                <w:sz w:val="21"/>
                <w:szCs w:val="21"/>
              </w:rPr>
              <w:t>安全教育</w:t>
            </w:r>
            <w:proofErr w:type="spellEnd"/>
          </w:p>
        </w:tc>
      </w:tr>
      <w:tr w:rsidR="00AB2E93" w:rsidTr="00951D44">
        <w:trPr>
          <w:trHeight w:hRule="exact" w:val="558"/>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3.1</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对新进校的教职工、研究生及本科生开展进入实验室前的安全教育与培训</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CE3F63">
        <w:trPr>
          <w:trHeight w:hRule="exact" w:val="60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3.2</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每年组织新进校教职工、本科生、研究生进行“实验室安全考试系统”的学习与考试，有详细记录</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color w:val="0000FF"/>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color w:val="0000FF"/>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color w:val="0000FF"/>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color w:val="0000FF"/>
                <w:lang w:eastAsia="zh-CN"/>
              </w:rPr>
            </w:pPr>
          </w:p>
        </w:tc>
      </w:tr>
      <w:tr w:rsidR="00AB2E93" w:rsidTr="00C84389">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3.3</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编印《实验室安全手册》并发放到每一位师生</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t>4</w:t>
            </w:r>
          </w:p>
        </w:tc>
        <w:tc>
          <w:tcPr>
            <w:tcW w:w="8823" w:type="dxa"/>
            <w:gridSpan w:val="6"/>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b/>
                <w:bCs/>
                <w:sz w:val="21"/>
                <w:szCs w:val="21"/>
              </w:rPr>
              <w:t>实验室环境与管理</w:t>
            </w:r>
            <w:proofErr w:type="spellEnd"/>
          </w:p>
        </w:tc>
      </w:tr>
      <w:tr w:rsidR="00AB2E93" w:rsidTr="00FB3DB6">
        <w:trPr>
          <w:trHeight w:hRule="exact" w:val="604"/>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4"/>
              <w:jc w:val="both"/>
              <w:rPr>
                <w:rFonts w:ascii="Times New Roman" w:hAnsi="Times New Roman"/>
                <w:sz w:val="21"/>
                <w:szCs w:val="21"/>
              </w:rPr>
            </w:pPr>
            <w:r>
              <w:rPr>
                <w:rFonts w:ascii="Times New Roman"/>
                <w:sz w:val="21"/>
              </w:rPr>
              <w:t>4.1</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每个实验室门口有安全信息牌，信息包括安全责任人、有效的应急联系电话等，并及时更新</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B957C9">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4"/>
              <w:jc w:val="both"/>
              <w:rPr>
                <w:rFonts w:ascii="Times New Roman" w:hAnsi="Times New Roman"/>
                <w:sz w:val="21"/>
                <w:szCs w:val="21"/>
              </w:rPr>
            </w:pPr>
            <w:r>
              <w:rPr>
                <w:rFonts w:ascii="Times New Roman"/>
                <w:sz w:val="21"/>
              </w:rPr>
              <w:t>4.2</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实验室应张贴相应的安全警示标识</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2D2023">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4"/>
              <w:jc w:val="both"/>
              <w:rPr>
                <w:rFonts w:ascii="Times New Roman"/>
                <w:sz w:val="21"/>
              </w:rPr>
            </w:pPr>
            <w:r>
              <w:rPr>
                <w:rFonts w:ascii="Times New Roman"/>
                <w:sz w:val="21"/>
              </w:rPr>
              <w:t>4.3</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实验室安全制度应上墙</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0B56CB">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4"/>
              <w:jc w:val="both"/>
              <w:rPr>
                <w:rFonts w:ascii="Times New Roman" w:hAnsi="Times New Roman"/>
                <w:sz w:val="21"/>
                <w:szCs w:val="21"/>
              </w:rPr>
            </w:pPr>
            <w:r>
              <w:rPr>
                <w:rFonts w:ascii="Times New Roman"/>
                <w:sz w:val="21"/>
              </w:rPr>
              <w:t>4.</w:t>
            </w:r>
            <w:r>
              <w:rPr>
                <w:rFonts w:ascii="Times New Roman"/>
                <w:sz w:val="21"/>
                <w:lang w:eastAsia="zh-CN"/>
              </w:rPr>
              <w:t>4</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sz w:val="21"/>
                <w:szCs w:val="21"/>
              </w:rPr>
              <w:t>实验室消防通道通畅</w:t>
            </w:r>
            <w:proofErr w:type="spellEnd"/>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tc>
        <w:tc>
          <w:tcPr>
            <w:tcW w:w="419" w:type="dxa"/>
            <w:tcBorders>
              <w:top w:val="single" w:sz="4" w:space="0" w:color="000000"/>
              <w:left w:val="single" w:sz="4" w:space="0" w:color="000000"/>
              <w:bottom w:val="single" w:sz="4" w:space="0" w:color="000000"/>
              <w:right w:val="single" w:sz="4" w:space="0" w:color="000000"/>
            </w:tcBorders>
          </w:tcPr>
          <w:p w:rsidR="00AB2E93" w:rsidRDefault="00AB2E93"/>
        </w:tc>
        <w:tc>
          <w:tcPr>
            <w:tcW w:w="448" w:type="dxa"/>
            <w:tcBorders>
              <w:top w:val="single" w:sz="4" w:space="0" w:color="000000"/>
              <w:left w:val="single" w:sz="4" w:space="0" w:color="000000"/>
              <w:bottom w:val="single" w:sz="4" w:space="0" w:color="000000"/>
              <w:right w:val="single" w:sz="4" w:space="0" w:color="000000"/>
            </w:tcBorders>
          </w:tcPr>
          <w:p w:rsidR="00AB2E93" w:rsidRDefault="00AB2E93"/>
        </w:tc>
        <w:tc>
          <w:tcPr>
            <w:tcW w:w="2575" w:type="dxa"/>
            <w:tcBorders>
              <w:top w:val="single" w:sz="4" w:space="0" w:color="000000"/>
              <w:left w:val="single" w:sz="4" w:space="0" w:color="000000"/>
              <w:bottom w:val="single" w:sz="4" w:space="0" w:color="000000"/>
              <w:right w:val="single" w:sz="4" w:space="0" w:color="000000"/>
            </w:tcBorders>
          </w:tcPr>
          <w:p w:rsidR="00AB2E93" w:rsidRDefault="00AB2E93"/>
        </w:tc>
      </w:tr>
      <w:tr w:rsidR="00AB2E93" w:rsidTr="00092178">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4"/>
              <w:jc w:val="both"/>
              <w:rPr>
                <w:rFonts w:ascii="Times New Roman" w:hAnsi="Times New Roman"/>
                <w:sz w:val="21"/>
                <w:szCs w:val="21"/>
              </w:rPr>
            </w:pPr>
            <w:r>
              <w:rPr>
                <w:rFonts w:ascii="Times New Roman"/>
                <w:sz w:val="21"/>
              </w:rPr>
              <w:t>4.</w:t>
            </w:r>
            <w:r>
              <w:rPr>
                <w:rFonts w:ascii="Times New Roman"/>
                <w:sz w:val="21"/>
                <w:lang w:eastAsia="zh-CN"/>
              </w:rPr>
              <w:t>5</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公共场所、通道无堆放仪器、物品现象</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284F9D">
        <w:trPr>
          <w:trHeight w:hRule="exact" w:val="352"/>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4"/>
              <w:jc w:val="both"/>
              <w:rPr>
                <w:rFonts w:ascii="Times New Roman" w:hAnsi="Times New Roman"/>
                <w:sz w:val="21"/>
                <w:szCs w:val="21"/>
              </w:rPr>
            </w:pPr>
            <w:r>
              <w:rPr>
                <w:rFonts w:ascii="Times New Roman"/>
                <w:sz w:val="21"/>
              </w:rPr>
              <w:t>4.</w:t>
            </w:r>
            <w:r>
              <w:rPr>
                <w:rFonts w:ascii="Times New Roman"/>
                <w:sz w:val="21"/>
                <w:lang w:eastAsia="zh-CN"/>
              </w:rPr>
              <w:t>6</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2"/>
              <w:jc w:val="both"/>
              <w:rPr>
                <w:rFonts w:ascii="宋体" w:cs="宋体"/>
                <w:sz w:val="21"/>
                <w:szCs w:val="21"/>
                <w:lang w:eastAsia="zh-CN"/>
              </w:rPr>
            </w:pPr>
            <w:r>
              <w:rPr>
                <w:rFonts w:ascii="宋体" w:hAnsi="宋体" w:cs="宋体" w:hint="eastAsia"/>
                <w:sz w:val="21"/>
                <w:szCs w:val="21"/>
                <w:lang w:eastAsia="zh-CN"/>
              </w:rPr>
              <w:t>实验室物品摆放有序，卫生状况良好</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864CD2">
        <w:trPr>
          <w:trHeight w:hRule="exact" w:val="329"/>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4.</w:t>
            </w:r>
            <w:r>
              <w:rPr>
                <w:rFonts w:ascii="Times New Roman"/>
                <w:sz w:val="21"/>
                <w:lang w:eastAsia="zh-CN"/>
              </w:rPr>
              <w:t>7</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2"/>
              <w:jc w:val="both"/>
              <w:rPr>
                <w:rFonts w:ascii="宋体" w:cs="宋体"/>
                <w:sz w:val="21"/>
                <w:szCs w:val="21"/>
                <w:lang w:eastAsia="zh-CN"/>
              </w:rPr>
            </w:pPr>
            <w:r>
              <w:rPr>
                <w:rFonts w:ascii="宋体" w:hAnsi="宋体" w:cs="宋体" w:hint="eastAsia"/>
                <w:spacing w:val="3"/>
                <w:sz w:val="21"/>
                <w:szCs w:val="21"/>
                <w:lang w:eastAsia="zh-CN"/>
              </w:rPr>
              <w:t>无废弃物品（如纸板箱、废电脑、仪器、家具</w:t>
            </w:r>
            <w:r>
              <w:rPr>
                <w:rFonts w:ascii="宋体" w:hAnsi="宋体" w:cs="宋体" w:hint="eastAsia"/>
                <w:sz w:val="21"/>
                <w:szCs w:val="21"/>
                <w:lang w:eastAsia="zh-CN"/>
              </w:rPr>
              <w:t>等）</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027433">
        <w:trPr>
          <w:trHeight w:hRule="exact" w:val="352"/>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4"/>
              <w:jc w:val="both"/>
              <w:rPr>
                <w:rFonts w:ascii="Times New Roman" w:hAnsi="Times New Roman"/>
                <w:sz w:val="21"/>
                <w:szCs w:val="21"/>
                <w:lang w:eastAsia="zh-CN"/>
              </w:rPr>
            </w:pPr>
            <w:r>
              <w:rPr>
                <w:rFonts w:ascii="Times New Roman" w:hAnsi="Times New Roman"/>
                <w:sz w:val="21"/>
                <w:szCs w:val="21"/>
                <w:lang w:eastAsia="zh-CN"/>
              </w:rPr>
              <w:t>4.8</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2"/>
              <w:jc w:val="both"/>
              <w:rPr>
                <w:rFonts w:ascii="宋体" w:cs="宋体"/>
                <w:sz w:val="21"/>
                <w:szCs w:val="21"/>
                <w:lang w:eastAsia="zh-CN"/>
              </w:rPr>
            </w:pPr>
            <w:r>
              <w:rPr>
                <w:rFonts w:ascii="宋体" w:hAnsi="宋体" w:cs="宋体" w:hint="eastAsia"/>
                <w:sz w:val="21"/>
                <w:szCs w:val="21"/>
                <w:lang w:eastAsia="zh-CN"/>
              </w:rPr>
              <w:t>实验室内不放无关物品，如电动车、自行车等</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trPr>
          <w:trHeight w:hRule="exact" w:val="352"/>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lastRenderedPageBreak/>
              <w:t>5</w:t>
            </w:r>
          </w:p>
        </w:tc>
        <w:tc>
          <w:tcPr>
            <w:tcW w:w="8836" w:type="dxa"/>
            <w:gridSpan w:val="7"/>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b/>
                <w:bCs/>
                <w:sz w:val="21"/>
                <w:szCs w:val="21"/>
              </w:rPr>
              <w:t>安全设施</w:t>
            </w:r>
            <w:proofErr w:type="spellEnd"/>
          </w:p>
        </w:tc>
      </w:tr>
      <w:tr w:rsidR="00AB2E93" w:rsidTr="00E92D87">
        <w:trPr>
          <w:trHeight w:hRule="exact" w:val="546"/>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144"/>
              <w:ind w:left="24"/>
              <w:jc w:val="both"/>
              <w:rPr>
                <w:rFonts w:ascii="Times New Roman" w:hAnsi="Times New Roman"/>
                <w:sz w:val="21"/>
                <w:szCs w:val="21"/>
              </w:rPr>
            </w:pPr>
            <w:r>
              <w:rPr>
                <w:rFonts w:ascii="Times New Roman"/>
                <w:sz w:val="21"/>
              </w:rPr>
              <w:t>5.1</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配置消防器材（烟感报警器、灭火器、消防栓、手动报警器等）</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665402">
        <w:trPr>
          <w:trHeight w:hRule="exact" w:val="350"/>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5.2</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实验大楼有逃生线路指示图，并安装了应急指示灯</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A32E37">
        <w:trPr>
          <w:trHeight w:hRule="exact" w:val="546"/>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144"/>
              <w:ind w:left="24"/>
              <w:jc w:val="both"/>
              <w:rPr>
                <w:rFonts w:ascii="Times New Roman" w:hAnsi="Times New Roman"/>
                <w:sz w:val="21"/>
                <w:szCs w:val="21"/>
              </w:rPr>
            </w:pPr>
            <w:r>
              <w:rPr>
                <w:rFonts w:ascii="Times New Roman"/>
                <w:sz w:val="21"/>
              </w:rPr>
              <w:t>5.3</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宋体" w:cs="宋体"/>
                <w:sz w:val="21"/>
                <w:szCs w:val="21"/>
                <w:lang w:eastAsia="zh-CN"/>
              </w:rPr>
            </w:pPr>
            <w:r>
              <w:rPr>
                <w:rFonts w:ascii="宋体" w:hAnsi="宋体" w:cs="宋体" w:hint="eastAsia"/>
                <w:sz w:val="21"/>
                <w:szCs w:val="21"/>
                <w:lang w:eastAsia="zh-CN"/>
              </w:rPr>
              <w:t>灭火器配备数量合理，无灭火器过期现象，摆放位置利于取用</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B56C51">
        <w:trPr>
          <w:trHeight w:hRule="exact" w:val="546"/>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144"/>
              <w:ind w:left="24"/>
              <w:jc w:val="both"/>
              <w:rPr>
                <w:rFonts w:ascii="Times New Roman" w:hAnsi="Times New Roman"/>
                <w:sz w:val="21"/>
                <w:szCs w:val="21"/>
              </w:rPr>
            </w:pPr>
            <w:r>
              <w:rPr>
                <w:rFonts w:ascii="Times New Roman"/>
                <w:sz w:val="21"/>
              </w:rPr>
              <w:t>5.4</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重点部位有防盗和监控设施，包括剧毒品、病原微生物和放射源存放点等。</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E11F1D">
        <w:trPr>
          <w:trHeight w:hRule="exact" w:val="352"/>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5.5</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化学和生物类实验室有应急喷淋装置和洗眼装置</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0772C6">
        <w:trPr>
          <w:trHeight w:hRule="exact" w:val="546"/>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144"/>
              <w:ind w:left="24"/>
              <w:jc w:val="both"/>
              <w:rPr>
                <w:rFonts w:ascii="Times New Roman" w:hAnsi="Times New Roman"/>
                <w:sz w:val="21"/>
                <w:szCs w:val="21"/>
              </w:rPr>
            </w:pPr>
            <w:r>
              <w:rPr>
                <w:rFonts w:ascii="Times New Roman"/>
                <w:sz w:val="21"/>
              </w:rPr>
              <w:t>5.6</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应急喷淋装置水管总阀处常开状态，喷头下方无障碍物</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613036">
        <w:trPr>
          <w:trHeight w:hRule="exact" w:val="350"/>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5.7</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有应急喷淋和洗眼装置的巡检记录</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552E40">
        <w:trPr>
          <w:trHeight w:hRule="exact" w:val="352"/>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5.</w:t>
            </w:r>
            <w:r>
              <w:rPr>
                <w:rFonts w:ascii="Times New Roman"/>
                <w:sz w:val="21"/>
                <w:lang w:eastAsia="zh-CN"/>
              </w:rPr>
              <w:t>8</w:t>
            </w:r>
          </w:p>
        </w:tc>
        <w:tc>
          <w:tcPr>
            <w:tcW w:w="4988"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实验室通风系统运行正常</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trPr>
          <w:trHeight w:hRule="exact" w:val="352"/>
        </w:trPr>
        <w:tc>
          <w:tcPr>
            <w:tcW w:w="649"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t>6</w:t>
            </w:r>
          </w:p>
        </w:tc>
        <w:tc>
          <w:tcPr>
            <w:tcW w:w="8836" w:type="dxa"/>
            <w:gridSpan w:val="7"/>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b/>
                <w:bCs/>
                <w:sz w:val="21"/>
                <w:szCs w:val="21"/>
              </w:rPr>
              <w:t>水电安全</w:t>
            </w:r>
            <w:proofErr w:type="spellEnd"/>
          </w:p>
        </w:tc>
      </w:tr>
      <w:tr w:rsidR="00AB2E93" w:rsidTr="00D92339">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6.1</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sz w:val="21"/>
                <w:szCs w:val="21"/>
              </w:rPr>
              <w:t>无乱拉乱接电线现象</w:t>
            </w:r>
            <w:proofErr w:type="spellEnd"/>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tc>
        <w:tc>
          <w:tcPr>
            <w:tcW w:w="419" w:type="dxa"/>
            <w:tcBorders>
              <w:top w:val="single" w:sz="4" w:space="0" w:color="000000"/>
              <w:left w:val="single" w:sz="4" w:space="0" w:color="000000"/>
              <w:bottom w:val="single" w:sz="4" w:space="0" w:color="000000"/>
              <w:right w:val="single" w:sz="4" w:space="0" w:color="000000"/>
            </w:tcBorders>
          </w:tcPr>
          <w:p w:rsidR="00AB2E93" w:rsidRDefault="00AB2E93"/>
        </w:tc>
        <w:tc>
          <w:tcPr>
            <w:tcW w:w="448" w:type="dxa"/>
            <w:tcBorders>
              <w:top w:val="single" w:sz="4" w:space="0" w:color="000000"/>
              <w:left w:val="single" w:sz="4" w:space="0" w:color="000000"/>
              <w:bottom w:val="single" w:sz="4" w:space="0" w:color="000000"/>
              <w:right w:val="single" w:sz="4" w:space="0" w:color="000000"/>
            </w:tcBorders>
          </w:tcPr>
          <w:p w:rsidR="00AB2E93" w:rsidRDefault="00AB2E93"/>
        </w:tc>
        <w:tc>
          <w:tcPr>
            <w:tcW w:w="2575" w:type="dxa"/>
            <w:tcBorders>
              <w:top w:val="single" w:sz="4" w:space="0" w:color="000000"/>
              <w:left w:val="single" w:sz="4" w:space="0" w:color="000000"/>
              <w:bottom w:val="single" w:sz="4" w:space="0" w:color="000000"/>
              <w:right w:val="single" w:sz="4" w:space="0" w:color="000000"/>
            </w:tcBorders>
          </w:tcPr>
          <w:p w:rsidR="00AB2E93" w:rsidRDefault="00AB2E93"/>
        </w:tc>
      </w:tr>
      <w:tr w:rsidR="00AB2E93" w:rsidTr="001A394D">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6.</w:t>
            </w:r>
            <w:r>
              <w:rPr>
                <w:rFonts w:ascii="Times New Roman"/>
                <w:sz w:val="21"/>
                <w:lang w:eastAsia="zh-CN"/>
              </w:rPr>
              <w:t>2</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无多个大功率仪器使用同一个接线板的现象</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2A5C97">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6.</w:t>
            </w:r>
            <w:r>
              <w:rPr>
                <w:rFonts w:ascii="Times New Roman"/>
                <w:sz w:val="21"/>
                <w:lang w:eastAsia="zh-CN"/>
              </w:rPr>
              <w:t>3</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无多个接线板串联、接线板直接放在地面的现象</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7D229A">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6.</w:t>
            </w:r>
            <w:r>
              <w:rPr>
                <w:rFonts w:ascii="Times New Roman"/>
                <w:sz w:val="21"/>
                <w:lang w:eastAsia="zh-CN"/>
              </w:rPr>
              <w:t>4</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大功率仪器（包括空调等）有专用插座</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3F6A71">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6.</w:t>
            </w:r>
            <w:r>
              <w:rPr>
                <w:rFonts w:ascii="Times New Roman"/>
                <w:sz w:val="21"/>
                <w:lang w:eastAsia="zh-CN"/>
              </w:rPr>
              <w:t>5</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下水道畅通，不存在水龙头、水管破损现象</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B06A98">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6.</w:t>
            </w:r>
            <w:r>
              <w:rPr>
                <w:rFonts w:ascii="Times New Roman"/>
                <w:sz w:val="21"/>
                <w:lang w:eastAsia="zh-CN"/>
              </w:rPr>
              <w:t>6</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节约用水，用完随时关闭水龙头</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2C6807">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sz w:val="21"/>
                <w:lang w:eastAsia="zh-CN"/>
              </w:rPr>
            </w:pPr>
            <w:r>
              <w:rPr>
                <w:rFonts w:ascii="Times New Roman"/>
                <w:sz w:val="21"/>
                <w:lang w:eastAsia="zh-CN"/>
              </w:rPr>
              <w:t>6.7</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节约用电，离开实验室随时关闭电源开关</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716973">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sz w:val="21"/>
                <w:lang w:eastAsia="zh-CN"/>
              </w:rPr>
            </w:pPr>
            <w:r>
              <w:rPr>
                <w:rFonts w:ascii="Times New Roman"/>
                <w:sz w:val="21"/>
                <w:lang w:eastAsia="zh-CN"/>
              </w:rPr>
              <w:t>6.8</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水电安全警示语上墙</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t>7</w:t>
            </w:r>
          </w:p>
        </w:tc>
        <w:tc>
          <w:tcPr>
            <w:tcW w:w="8823" w:type="dxa"/>
            <w:gridSpan w:val="6"/>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b/>
                <w:bCs/>
                <w:sz w:val="21"/>
                <w:szCs w:val="21"/>
              </w:rPr>
              <w:t>化学安全</w:t>
            </w:r>
            <w:proofErr w:type="spellEnd"/>
          </w:p>
        </w:tc>
      </w:tr>
      <w:tr w:rsidR="00AB2E93" w:rsidTr="002C615B">
        <w:trPr>
          <w:trHeight w:hRule="exact" w:val="575"/>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7.1</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有化学品管理的</w:t>
            </w:r>
            <w:proofErr w:type="gramStart"/>
            <w:r>
              <w:rPr>
                <w:rFonts w:ascii="宋体" w:hAnsi="宋体" w:cs="宋体" w:hint="eastAsia"/>
                <w:sz w:val="21"/>
                <w:szCs w:val="21"/>
                <w:lang w:eastAsia="zh-CN"/>
              </w:rPr>
              <w:t>动态台</w:t>
            </w:r>
            <w:proofErr w:type="gramEnd"/>
            <w:r>
              <w:rPr>
                <w:rFonts w:ascii="宋体" w:hAnsi="宋体" w:cs="宋体" w:hint="eastAsia"/>
                <w:sz w:val="21"/>
                <w:szCs w:val="21"/>
                <w:lang w:eastAsia="zh-CN"/>
              </w:rPr>
              <w:t>帐，有序分类存放，放置位置便于查找取用</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C72098">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7.2</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化学试剂标签无脱落、模糊现象</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6E1614">
        <w:trPr>
          <w:trHeight w:hRule="exact" w:val="78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3"/>
                <w:szCs w:val="23"/>
                <w:lang w:eastAsia="zh-CN"/>
              </w:rPr>
            </w:pPr>
          </w:p>
          <w:p w:rsidR="00AB2E93" w:rsidRDefault="00AB2E93">
            <w:pPr>
              <w:pStyle w:val="TableParagraph"/>
              <w:jc w:val="both"/>
              <w:rPr>
                <w:rFonts w:ascii="Times New Roman" w:hAnsi="Times New Roman"/>
                <w:sz w:val="21"/>
                <w:szCs w:val="21"/>
              </w:rPr>
            </w:pPr>
            <w:r>
              <w:rPr>
                <w:rFonts w:ascii="Times New Roman"/>
                <w:sz w:val="21"/>
              </w:rPr>
              <w:t>7.3</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剧毒化学品应设置专门库房、配备专门的保险柜，实行双人双锁保管（只有</w:t>
            </w:r>
            <w:r>
              <w:rPr>
                <w:rFonts w:ascii="Times New Roman" w:hAnsi="Times New Roman"/>
                <w:sz w:val="21"/>
                <w:szCs w:val="21"/>
                <w:lang w:eastAsia="zh-CN"/>
              </w:rPr>
              <w:t>2</w:t>
            </w:r>
            <w:r>
              <w:rPr>
                <w:rFonts w:ascii="宋体" w:hAnsi="宋体" w:cs="宋体" w:hint="eastAsia"/>
                <w:sz w:val="21"/>
                <w:szCs w:val="21"/>
                <w:lang w:eastAsia="zh-CN"/>
              </w:rPr>
              <w:t>名分别掌管了钥匙和密码的保管人同时到场时才能开启保险柜）</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986538">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4</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剧毒化学品执行双人收发、双人运输，有记录</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B67CAA">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5</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宋体" w:cs="宋体"/>
                <w:sz w:val="21"/>
                <w:szCs w:val="21"/>
                <w:lang w:eastAsia="zh-CN"/>
              </w:rPr>
            </w:pPr>
            <w:r>
              <w:rPr>
                <w:rFonts w:ascii="宋体" w:hAnsi="宋体" w:cs="宋体" w:hint="eastAsia"/>
                <w:sz w:val="21"/>
                <w:szCs w:val="21"/>
                <w:lang w:eastAsia="zh-CN"/>
              </w:rPr>
              <w:t>剧毒化学品使用时有两人同时在场，且计量取用后立即放回保险柜，有记录（双人签字）</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E21390">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6</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宋体" w:cs="宋体"/>
                <w:sz w:val="21"/>
                <w:szCs w:val="21"/>
                <w:lang w:eastAsia="zh-CN"/>
              </w:rPr>
            </w:pPr>
            <w:r>
              <w:rPr>
                <w:rFonts w:ascii="宋体" w:hAnsi="宋体" w:cs="宋体" w:hint="eastAsia"/>
                <w:sz w:val="21"/>
                <w:szCs w:val="21"/>
                <w:lang w:eastAsia="zh-CN"/>
              </w:rPr>
              <w:t>有气体</w:t>
            </w:r>
            <w:proofErr w:type="gramStart"/>
            <w:r>
              <w:rPr>
                <w:rFonts w:ascii="宋体" w:hAnsi="宋体" w:cs="宋体" w:hint="eastAsia"/>
                <w:sz w:val="21"/>
                <w:szCs w:val="21"/>
                <w:lang w:eastAsia="zh-CN"/>
              </w:rPr>
              <w:t>钢瓶台</w:t>
            </w:r>
            <w:proofErr w:type="gramEnd"/>
            <w:r>
              <w:rPr>
                <w:rFonts w:ascii="宋体" w:hAnsi="宋体" w:cs="宋体" w:hint="eastAsia"/>
                <w:sz w:val="21"/>
                <w:szCs w:val="21"/>
                <w:lang w:eastAsia="zh-CN"/>
              </w:rPr>
              <w:t>帐，钢瓶颜色和字体清楚，有状态标识牌</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7C4656">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7</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sz w:val="21"/>
                <w:szCs w:val="21"/>
              </w:rPr>
              <w:t>可燃性气体与氧气等助燃气体不混放</w:t>
            </w:r>
            <w:proofErr w:type="spellEnd"/>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tc>
        <w:tc>
          <w:tcPr>
            <w:tcW w:w="419" w:type="dxa"/>
            <w:tcBorders>
              <w:top w:val="single" w:sz="4" w:space="0" w:color="000000"/>
              <w:left w:val="single" w:sz="4" w:space="0" w:color="000000"/>
              <w:bottom w:val="single" w:sz="4" w:space="0" w:color="000000"/>
              <w:right w:val="single" w:sz="4" w:space="0" w:color="000000"/>
            </w:tcBorders>
          </w:tcPr>
          <w:p w:rsidR="00AB2E93" w:rsidRDefault="00AB2E93"/>
        </w:tc>
        <w:tc>
          <w:tcPr>
            <w:tcW w:w="448" w:type="dxa"/>
            <w:tcBorders>
              <w:top w:val="single" w:sz="4" w:space="0" w:color="000000"/>
              <w:left w:val="single" w:sz="4" w:space="0" w:color="000000"/>
              <w:bottom w:val="single" w:sz="4" w:space="0" w:color="000000"/>
              <w:right w:val="single" w:sz="4" w:space="0" w:color="000000"/>
            </w:tcBorders>
          </w:tcPr>
          <w:p w:rsidR="00AB2E93" w:rsidRDefault="00AB2E93"/>
        </w:tc>
        <w:tc>
          <w:tcPr>
            <w:tcW w:w="2575" w:type="dxa"/>
            <w:tcBorders>
              <w:top w:val="single" w:sz="4" w:space="0" w:color="000000"/>
              <w:left w:val="single" w:sz="4" w:space="0" w:color="000000"/>
              <w:bottom w:val="single" w:sz="4" w:space="0" w:color="000000"/>
              <w:right w:val="single" w:sz="4" w:space="0" w:color="000000"/>
            </w:tcBorders>
          </w:tcPr>
          <w:p w:rsidR="00AB2E93" w:rsidRDefault="00AB2E93"/>
        </w:tc>
      </w:tr>
      <w:tr w:rsidR="00AB2E93" w:rsidTr="00E0332E">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8</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宋体" w:cs="宋体"/>
                <w:sz w:val="21"/>
                <w:szCs w:val="21"/>
                <w:lang w:eastAsia="zh-CN"/>
              </w:rPr>
            </w:pPr>
            <w:r>
              <w:rPr>
                <w:rFonts w:ascii="宋体" w:hAnsi="宋体" w:cs="宋体" w:hint="eastAsia"/>
                <w:sz w:val="21"/>
                <w:szCs w:val="21"/>
                <w:lang w:eastAsia="zh-CN"/>
              </w:rPr>
              <w:t>涉及剧毒、易燃易爆气体的场所，配有通风设施和监控报警装置等</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480F85">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9</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sz w:val="21"/>
                <w:szCs w:val="21"/>
              </w:rPr>
              <w:t>气体钢瓶已正确固定</w:t>
            </w:r>
            <w:proofErr w:type="spellEnd"/>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tc>
        <w:tc>
          <w:tcPr>
            <w:tcW w:w="419" w:type="dxa"/>
            <w:tcBorders>
              <w:top w:val="single" w:sz="4" w:space="0" w:color="000000"/>
              <w:left w:val="single" w:sz="4" w:space="0" w:color="000000"/>
              <w:bottom w:val="single" w:sz="4" w:space="0" w:color="000000"/>
              <w:right w:val="single" w:sz="4" w:space="0" w:color="000000"/>
            </w:tcBorders>
          </w:tcPr>
          <w:p w:rsidR="00AB2E93" w:rsidRDefault="00AB2E93"/>
        </w:tc>
        <w:tc>
          <w:tcPr>
            <w:tcW w:w="448" w:type="dxa"/>
            <w:tcBorders>
              <w:top w:val="single" w:sz="4" w:space="0" w:color="000000"/>
              <w:left w:val="single" w:sz="4" w:space="0" w:color="000000"/>
              <w:bottom w:val="single" w:sz="4" w:space="0" w:color="000000"/>
              <w:right w:val="single" w:sz="4" w:space="0" w:color="000000"/>
            </w:tcBorders>
          </w:tcPr>
          <w:p w:rsidR="00AB2E93" w:rsidRDefault="00AB2E93"/>
        </w:tc>
        <w:tc>
          <w:tcPr>
            <w:tcW w:w="2575" w:type="dxa"/>
            <w:tcBorders>
              <w:top w:val="single" w:sz="4" w:space="0" w:color="000000"/>
              <w:left w:val="single" w:sz="4" w:space="0" w:color="000000"/>
              <w:bottom w:val="single" w:sz="4" w:space="0" w:color="000000"/>
              <w:right w:val="single" w:sz="4" w:space="0" w:color="000000"/>
            </w:tcBorders>
          </w:tcPr>
          <w:p w:rsidR="00AB2E93" w:rsidRDefault="00AB2E93"/>
        </w:tc>
      </w:tr>
      <w:tr w:rsidR="00AB2E93" w:rsidTr="00C15263">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10</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无废旧气体钢瓶，无大量气体钢瓶堆放现象</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A15D2D">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11</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宋体" w:cs="宋体"/>
                <w:sz w:val="21"/>
                <w:szCs w:val="21"/>
                <w:lang w:eastAsia="zh-CN"/>
              </w:rPr>
            </w:pPr>
            <w:r>
              <w:rPr>
                <w:rFonts w:ascii="宋体" w:hAnsi="宋体" w:cs="宋体" w:hint="eastAsia"/>
                <w:sz w:val="21"/>
                <w:szCs w:val="21"/>
                <w:lang w:eastAsia="zh-CN"/>
              </w:rPr>
              <w:t>无大量存放化学废弃物的现象，定时清运化学实验废弃物，按照环保要求规范从处置。</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6A3F50">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12</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无实验废弃物和生活垃圾混</w:t>
            </w:r>
            <w:proofErr w:type="gramStart"/>
            <w:r>
              <w:rPr>
                <w:rFonts w:ascii="宋体" w:hAnsi="宋体" w:cs="宋体" w:hint="eastAsia"/>
                <w:sz w:val="21"/>
                <w:szCs w:val="21"/>
                <w:lang w:eastAsia="zh-CN"/>
              </w:rPr>
              <w:t>放现象</w:t>
            </w:r>
            <w:proofErr w:type="gramEnd"/>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97669D">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13</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无向下水道倾倒废旧化学试剂等现象</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9C2BA0">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7.</w:t>
            </w:r>
            <w:r>
              <w:rPr>
                <w:rFonts w:ascii="Times New Roman"/>
                <w:sz w:val="21"/>
                <w:lang w:eastAsia="zh-CN"/>
              </w:rPr>
              <w:t>14</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无实验室外堆放实验废弃物现象</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lastRenderedPageBreak/>
              <w:t>8</w:t>
            </w:r>
          </w:p>
        </w:tc>
        <w:tc>
          <w:tcPr>
            <w:tcW w:w="8823" w:type="dxa"/>
            <w:gridSpan w:val="6"/>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b/>
                <w:bCs/>
                <w:sz w:val="21"/>
                <w:szCs w:val="21"/>
              </w:rPr>
              <w:t>生物安全</w:t>
            </w:r>
            <w:proofErr w:type="spellEnd"/>
          </w:p>
        </w:tc>
      </w:tr>
      <w:tr w:rsidR="00AB2E93" w:rsidTr="00FB592D">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8.1</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开展病原微生物相关实验和研究的实验室，须具备相应的安全等级资质和生物危害因子实验活动资格</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0D3966">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8.2</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Times New Roman" w:hAnsi="Times New Roman"/>
                <w:sz w:val="21"/>
                <w:szCs w:val="21"/>
                <w:lang w:eastAsia="zh-CN"/>
              </w:rPr>
            </w:pPr>
            <w:r>
              <w:rPr>
                <w:rFonts w:ascii="宋体" w:hAnsi="宋体" w:cs="宋体" w:hint="eastAsia"/>
                <w:sz w:val="21"/>
                <w:szCs w:val="21"/>
                <w:lang w:eastAsia="zh-CN"/>
              </w:rPr>
              <w:t>开展病原微生物相关实验和研究的人员须经过专业培训，并取得相应的“证书”</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1D7039">
        <w:trPr>
          <w:trHeight w:hRule="exact" w:val="78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8.</w:t>
            </w:r>
            <w:r>
              <w:rPr>
                <w:rFonts w:ascii="Times New Roman"/>
                <w:sz w:val="21"/>
                <w:lang w:eastAsia="zh-CN"/>
              </w:rPr>
              <w:t>3</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proofErr w:type="gramStart"/>
            <w:r>
              <w:rPr>
                <w:rFonts w:ascii="宋体" w:hAnsi="宋体" w:cs="宋体" w:hint="eastAsia"/>
                <w:sz w:val="21"/>
                <w:szCs w:val="21"/>
                <w:lang w:eastAsia="zh-CN"/>
              </w:rPr>
              <w:t>开展低</w:t>
            </w:r>
            <w:proofErr w:type="gramEnd"/>
            <w:r>
              <w:rPr>
                <w:rFonts w:ascii="宋体" w:hAnsi="宋体" w:cs="宋体" w:hint="eastAsia"/>
                <w:sz w:val="21"/>
                <w:szCs w:val="21"/>
                <w:lang w:eastAsia="zh-CN"/>
              </w:rPr>
              <w:t>致病性病原微生物（列入三类、四类），或经灭活的高致病性感染性材料的相关实验和研究，必须在</w:t>
            </w:r>
            <w:r>
              <w:rPr>
                <w:rFonts w:ascii="Times New Roman" w:hAnsi="Times New Roman"/>
                <w:sz w:val="21"/>
                <w:szCs w:val="21"/>
                <w:lang w:eastAsia="zh-CN"/>
              </w:rPr>
              <w:t>BSL-1/ABSL-1</w:t>
            </w:r>
            <w:r>
              <w:rPr>
                <w:rFonts w:ascii="宋体" w:hAnsi="宋体" w:cs="宋体" w:hint="eastAsia"/>
                <w:sz w:val="21"/>
                <w:szCs w:val="21"/>
                <w:lang w:eastAsia="zh-CN"/>
              </w:rPr>
              <w:t>及以上等级实验室中进行</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693520">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8.</w:t>
            </w:r>
            <w:r>
              <w:rPr>
                <w:rFonts w:ascii="Times New Roman"/>
                <w:sz w:val="21"/>
                <w:lang w:eastAsia="zh-CN"/>
              </w:rPr>
              <w:t>4</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饲养实验动物的场所应有资质证书</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403430">
        <w:trPr>
          <w:trHeight w:hRule="exact" w:val="585"/>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8.</w:t>
            </w:r>
            <w:r>
              <w:rPr>
                <w:rFonts w:ascii="Times New Roman"/>
                <w:sz w:val="21"/>
                <w:lang w:eastAsia="zh-CN"/>
              </w:rPr>
              <w:t>5</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宋体" w:cs="宋体"/>
                <w:sz w:val="21"/>
                <w:szCs w:val="21"/>
                <w:lang w:eastAsia="zh-CN"/>
              </w:rPr>
            </w:pPr>
            <w:r>
              <w:rPr>
                <w:rFonts w:ascii="宋体" w:hAnsi="宋体" w:cs="宋体" w:hint="eastAsia"/>
                <w:sz w:val="21"/>
                <w:szCs w:val="21"/>
                <w:lang w:eastAsia="zh-CN"/>
              </w:rPr>
              <w:t>对动物实验废弃物进行了分类收集，与有资质的单位签约处置协议，有处置记录。</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203837">
        <w:trPr>
          <w:trHeight w:hRule="exact" w:val="408"/>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1"/>
                <w:szCs w:val="21"/>
              </w:rPr>
            </w:pPr>
            <w:r>
              <w:rPr>
                <w:rFonts w:ascii="Times New Roman"/>
                <w:sz w:val="21"/>
              </w:rPr>
              <w:t>8.</w:t>
            </w:r>
            <w:r>
              <w:rPr>
                <w:rFonts w:ascii="Times New Roman"/>
                <w:sz w:val="21"/>
                <w:lang w:eastAsia="zh-CN"/>
              </w:rPr>
              <w:t>6</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宋体" w:cs="宋体"/>
                <w:sz w:val="21"/>
                <w:szCs w:val="21"/>
                <w:lang w:eastAsia="zh-CN"/>
              </w:rPr>
            </w:pPr>
            <w:r>
              <w:rPr>
                <w:rFonts w:ascii="宋体" w:hAnsi="宋体" w:cs="宋体" w:hint="eastAsia"/>
                <w:sz w:val="21"/>
                <w:szCs w:val="21"/>
                <w:lang w:eastAsia="zh-CN"/>
              </w:rPr>
              <w:t>无实验废弃物和生活垃圾混</w:t>
            </w:r>
            <w:proofErr w:type="gramStart"/>
            <w:r>
              <w:rPr>
                <w:rFonts w:ascii="宋体" w:hAnsi="宋体" w:cs="宋体" w:hint="eastAsia"/>
                <w:sz w:val="21"/>
                <w:szCs w:val="21"/>
                <w:lang w:eastAsia="zh-CN"/>
              </w:rPr>
              <w:t>放现象</w:t>
            </w:r>
            <w:proofErr w:type="gramEnd"/>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t>9</w:t>
            </w:r>
          </w:p>
        </w:tc>
        <w:tc>
          <w:tcPr>
            <w:tcW w:w="8823" w:type="dxa"/>
            <w:gridSpan w:val="6"/>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b/>
                <w:bCs/>
                <w:sz w:val="21"/>
                <w:szCs w:val="21"/>
              </w:rPr>
              <w:t>辐射安全</w:t>
            </w:r>
            <w:proofErr w:type="spellEnd"/>
          </w:p>
        </w:tc>
      </w:tr>
      <w:tr w:rsidR="00AB2E93" w:rsidTr="001F0688">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1"/>
              <w:jc w:val="both"/>
              <w:rPr>
                <w:rFonts w:ascii="Times New Roman" w:hAnsi="Times New Roman"/>
                <w:sz w:val="21"/>
                <w:szCs w:val="21"/>
              </w:rPr>
            </w:pPr>
            <w:r>
              <w:rPr>
                <w:rFonts w:ascii="Times New Roman"/>
                <w:sz w:val="21"/>
              </w:rPr>
              <w:t>9.1</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8"/>
              <w:jc w:val="both"/>
              <w:rPr>
                <w:rFonts w:ascii="宋体" w:cs="宋体"/>
                <w:sz w:val="21"/>
                <w:szCs w:val="21"/>
                <w:lang w:eastAsia="zh-CN"/>
              </w:rPr>
            </w:pPr>
            <w:r>
              <w:rPr>
                <w:rFonts w:ascii="宋体" w:hAnsi="宋体" w:cs="宋体" w:hint="eastAsia"/>
                <w:spacing w:val="3"/>
                <w:sz w:val="21"/>
                <w:szCs w:val="21"/>
                <w:lang w:eastAsia="zh-CN"/>
              </w:rPr>
              <w:t>取得</w:t>
            </w:r>
            <w:r>
              <w:rPr>
                <w:rFonts w:ascii="宋体" w:cs="宋体" w:hint="eastAsia"/>
                <w:spacing w:val="3"/>
                <w:sz w:val="21"/>
                <w:szCs w:val="21"/>
                <w:lang w:eastAsia="zh-CN"/>
              </w:rPr>
              <w:t>“</w:t>
            </w:r>
            <w:r>
              <w:rPr>
                <w:rFonts w:ascii="宋体" w:hAnsi="宋体" w:cs="宋体" w:hint="eastAsia"/>
                <w:spacing w:val="3"/>
                <w:sz w:val="21"/>
                <w:szCs w:val="21"/>
                <w:lang w:eastAsia="zh-CN"/>
              </w:rPr>
              <w:t>辐射安全许可证</w:t>
            </w:r>
            <w:r>
              <w:rPr>
                <w:rFonts w:ascii="宋体" w:cs="宋体" w:hint="eastAsia"/>
                <w:spacing w:val="3"/>
                <w:sz w:val="21"/>
                <w:szCs w:val="21"/>
                <w:lang w:eastAsia="zh-CN"/>
              </w:rPr>
              <w:t>”</w:t>
            </w:r>
            <w:r>
              <w:rPr>
                <w:rFonts w:ascii="宋体" w:hAnsi="宋体" w:cs="宋体" w:hint="eastAsia"/>
                <w:spacing w:val="3"/>
                <w:sz w:val="21"/>
                <w:szCs w:val="21"/>
                <w:lang w:eastAsia="zh-CN"/>
              </w:rPr>
              <w:t>，并按规定在放射性核素</w:t>
            </w:r>
            <w:r>
              <w:rPr>
                <w:rFonts w:ascii="宋体" w:hAnsi="宋体" w:cs="宋体" w:hint="eastAsia"/>
                <w:sz w:val="21"/>
                <w:szCs w:val="21"/>
                <w:lang w:eastAsia="zh-CN"/>
              </w:rPr>
              <w:t>种类和用量许可范围内开展实验</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071448">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1"/>
              <w:jc w:val="both"/>
              <w:rPr>
                <w:rFonts w:ascii="Times New Roman" w:hAnsi="Times New Roman"/>
                <w:sz w:val="21"/>
                <w:szCs w:val="21"/>
              </w:rPr>
            </w:pPr>
            <w:r>
              <w:rPr>
                <w:rFonts w:ascii="Times New Roman"/>
                <w:sz w:val="21"/>
              </w:rPr>
              <w:t>9.2</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放射性操作人员经过了专门培训，有《辐射安全与防护培训学习合格证书》</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D34036">
        <w:trPr>
          <w:trHeight w:hRule="exact" w:val="414"/>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1"/>
              <w:jc w:val="both"/>
              <w:rPr>
                <w:rFonts w:ascii="Times New Roman" w:hAnsi="Times New Roman"/>
                <w:sz w:val="21"/>
                <w:szCs w:val="21"/>
              </w:rPr>
            </w:pPr>
            <w:r>
              <w:rPr>
                <w:rFonts w:ascii="Times New Roman"/>
                <w:sz w:val="21"/>
              </w:rPr>
              <w:t>9.</w:t>
            </w:r>
            <w:r>
              <w:rPr>
                <w:rFonts w:ascii="Times New Roman"/>
                <w:sz w:val="21"/>
                <w:lang w:eastAsia="zh-CN"/>
              </w:rPr>
              <w:t>3</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放射源储存库双门双控，并有视频监控系统</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5F2A42">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1"/>
              <w:jc w:val="both"/>
              <w:rPr>
                <w:rFonts w:ascii="Times New Roman" w:hAnsi="Times New Roman"/>
                <w:sz w:val="21"/>
                <w:szCs w:val="21"/>
              </w:rPr>
            </w:pPr>
            <w:r>
              <w:rPr>
                <w:rFonts w:ascii="Times New Roman"/>
                <w:sz w:val="21"/>
              </w:rPr>
              <w:t>9.</w:t>
            </w:r>
            <w:r>
              <w:rPr>
                <w:rFonts w:ascii="Times New Roman"/>
                <w:sz w:val="21"/>
                <w:lang w:eastAsia="zh-CN"/>
              </w:rPr>
              <w:t>4</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13"/>
              <w:jc w:val="both"/>
              <w:rPr>
                <w:rFonts w:ascii="宋体" w:cs="宋体"/>
                <w:sz w:val="21"/>
                <w:szCs w:val="21"/>
                <w:lang w:eastAsia="zh-CN"/>
              </w:rPr>
            </w:pPr>
            <w:r>
              <w:rPr>
                <w:rFonts w:ascii="宋体" w:hAnsi="宋体" w:cs="宋体" w:hint="eastAsia"/>
                <w:sz w:val="21"/>
                <w:szCs w:val="21"/>
                <w:lang w:eastAsia="zh-CN"/>
              </w:rPr>
              <w:t>涉</w:t>
            </w:r>
            <w:proofErr w:type="gramStart"/>
            <w:r>
              <w:rPr>
                <w:rFonts w:ascii="宋体" w:hAnsi="宋体" w:cs="宋体" w:hint="eastAsia"/>
                <w:sz w:val="21"/>
                <w:szCs w:val="21"/>
                <w:lang w:eastAsia="zh-CN"/>
              </w:rPr>
              <w:t>辐</w:t>
            </w:r>
            <w:proofErr w:type="gramEnd"/>
            <w:r>
              <w:rPr>
                <w:rFonts w:ascii="宋体" w:hAnsi="宋体" w:cs="宋体" w:hint="eastAsia"/>
                <w:sz w:val="21"/>
                <w:szCs w:val="21"/>
                <w:lang w:eastAsia="zh-CN"/>
              </w:rPr>
              <w:t>实验场所（放射性物质、</w:t>
            </w:r>
            <w:r>
              <w:rPr>
                <w:rFonts w:ascii="Times New Roman" w:hAnsi="Times New Roman"/>
                <w:sz w:val="21"/>
                <w:szCs w:val="21"/>
                <w:lang w:eastAsia="zh-CN"/>
              </w:rPr>
              <w:t>X</w:t>
            </w:r>
            <w:r>
              <w:rPr>
                <w:rFonts w:ascii="宋体" w:hAnsi="宋体" w:cs="宋体" w:hint="eastAsia"/>
                <w:sz w:val="21"/>
                <w:szCs w:val="21"/>
                <w:lang w:eastAsia="zh-CN"/>
              </w:rPr>
              <w:t>射线装置）有安全警示标识、警戒线和剂量报警仪</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9049A9">
        <w:trPr>
          <w:trHeight w:hRule="exact" w:val="350"/>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1"/>
              <w:jc w:val="both"/>
              <w:rPr>
                <w:rFonts w:ascii="Times New Roman" w:hAnsi="Times New Roman"/>
                <w:sz w:val="21"/>
                <w:szCs w:val="21"/>
              </w:rPr>
            </w:pPr>
            <w:r>
              <w:rPr>
                <w:rFonts w:ascii="Times New Roman"/>
                <w:sz w:val="21"/>
              </w:rPr>
              <w:t>9.5</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有专门存放放射性废弃物的容器和暂存库</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61593B">
        <w:trPr>
          <w:trHeight w:hRule="exact" w:val="546"/>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1"/>
              <w:jc w:val="both"/>
              <w:rPr>
                <w:rFonts w:ascii="Times New Roman" w:hAnsi="Times New Roman"/>
                <w:sz w:val="21"/>
                <w:szCs w:val="21"/>
              </w:rPr>
            </w:pPr>
            <w:r>
              <w:rPr>
                <w:rFonts w:ascii="Times New Roman"/>
                <w:sz w:val="21"/>
              </w:rPr>
              <w:t>9.</w:t>
            </w:r>
            <w:r>
              <w:rPr>
                <w:rFonts w:ascii="Times New Roman"/>
                <w:sz w:val="21"/>
                <w:lang w:eastAsia="zh-CN"/>
              </w:rPr>
              <w:t>6</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9" w:line="240" w:lineRule="exact"/>
              <w:ind w:left="22" w:right="107"/>
              <w:jc w:val="both"/>
              <w:rPr>
                <w:rFonts w:ascii="宋体" w:cs="宋体"/>
                <w:sz w:val="21"/>
                <w:szCs w:val="21"/>
                <w:lang w:eastAsia="zh-CN"/>
              </w:rPr>
            </w:pPr>
            <w:r>
              <w:rPr>
                <w:rFonts w:ascii="宋体" w:hAnsi="宋体" w:cs="宋体" w:hint="eastAsia"/>
                <w:sz w:val="21"/>
                <w:szCs w:val="21"/>
                <w:lang w:eastAsia="zh-CN"/>
              </w:rPr>
              <w:t>放射源和放射性物质的采购和转让转移有学校及政府环保部门的审批备案材料</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F15AF9">
        <w:trPr>
          <w:trHeight w:hRule="exact" w:val="352"/>
        </w:trPr>
        <w:tc>
          <w:tcPr>
            <w:tcW w:w="662"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1"/>
              <w:jc w:val="both"/>
              <w:rPr>
                <w:rFonts w:ascii="Times New Roman" w:hAnsi="Times New Roman"/>
                <w:sz w:val="21"/>
                <w:szCs w:val="21"/>
              </w:rPr>
            </w:pPr>
            <w:r>
              <w:rPr>
                <w:rFonts w:ascii="Times New Roman"/>
                <w:sz w:val="21"/>
              </w:rPr>
              <w:t>9.</w:t>
            </w:r>
            <w:r>
              <w:rPr>
                <w:rFonts w:ascii="Times New Roman"/>
                <w:sz w:val="21"/>
                <w:lang w:eastAsia="zh-CN"/>
              </w:rPr>
              <w:t>7</w:t>
            </w:r>
          </w:p>
        </w:tc>
        <w:tc>
          <w:tcPr>
            <w:tcW w:w="4975" w:type="dxa"/>
            <w:gridSpan w:val="2"/>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放射源和放射性物质变更有及时登记台帐</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8851B5">
        <w:trPr>
          <w:trHeight w:hRule="exact" w:val="546"/>
        </w:trPr>
        <w:tc>
          <w:tcPr>
            <w:tcW w:w="687"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ind w:left="24"/>
              <w:jc w:val="both"/>
              <w:rPr>
                <w:rFonts w:ascii="Times New Roman" w:hAnsi="Times New Roman"/>
                <w:sz w:val="21"/>
                <w:szCs w:val="21"/>
              </w:rPr>
            </w:pPr>
            <w:r>
              <w:rPr>
                <w:rFonts w:ascii="Times New Roman"/>
                <w:sz w:val="21"/>
              </w:rPr>
              <w:t>9.</w:t>
            </w:r>
            <w:r>
              <w:rPr>
                <w:rFonts w:ascii="Times New Roman"/>
                <w:sz w:val="21"/>
                <w:lang w:eastAsia="zh-CN"/>
              </w:rPr>
              <w:t>8</w:t>
            </w:r>
          </w:p>
        </w:tc>
        <w:tc>
          <w:tcPr>
            <w:tcW w:w="4950"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报废含有放射源或可产生放射性的设备，需报学校管理部门同意，并按国家规定进行退役处置</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trPr>
          <w:trHeight w:hRule="exact" w:val="350"/>
        </w:trPr>
        <w:tc>
          <w:tcPr>
            <w:tcW w:w="687"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b/>
                <w:sz w:val="21"/>
              </w:rPr>
              <w:t>10</w:t>
            </w:r>
          </w:p>
        </w:tc>
        <w:tc>
          <w:tcPr>
            <w:tcW w:w="8798" w:type="dxa"/>
            <w:gridSpan w:val="5"/>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b/>
                <w:bCs/>
                <w:sz w:val="21"/>
                <w:szCs w:val="21"/>
              </w:rPr>
              <w:t>仪器设备安全</w:t>
            </w:r>
            <w:proofErr w:type="spellEnd"/>
          </w:p>
        </w:tc>
      </w:tr>
      <w:tr w:rsidR="00AB2E93" w:rsidTr="003A62DE">
        <w:trPr>
          <w:trHeight w:hRule="exact" w:val="350"/>
        </w:trPr>
        <w:tc>
          <w:tcPr>
            <w:tcW w:w="687"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10.1</w:t>
            </w:r>
          </w:p>
        </w:tc>
        <w:tc>
          <w:tcPr>
            <w:tcW w:w="4950"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rPr>
            </w:pPr>
            <w:proofErr w:type="spellStart"/>
            <w:r>
              <w:rPr>
                <w:rFonts w:ascii="宋体" w:hAnsi="宋体" w:cs="宋体" w:hint="eastAsia"/>
                <w:sz w:val="21"/>
                <w:szCs w:val="21"/>
              </w:rPr>
              <w:t>建立了设备台帐</w:t>
            </w:r>
            <w:proofErr w:type="spellEnd"/>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tc>
        <w:tc>
          <w:tcPr>
            <w:tcW w:w="419" w:type="dxa"/>
            <w:tcBorders>
              <w:top w:val="single" w:sz="4" w:space="0" w:color="000000"/>
              <w:left w:val="single" w:sz="4" w:space="0" w:color="000000"/>
              <w:bottom w:val="single" w:sz="4" w:space="0" w:color="000000"/>
              <w:right w:val="single" w:sz="4" w:space="0" w:color="000000"/>
            </w:tcBorders>
          </w:tcPr>
          <w:p w:rsidR="00AB2E93" w:rsidRDefault="00AB2E93"/>
        </w:tc>
        <w:tc>
          <w:tcPr>
            <w:tcW w:w="448" w:type="dxa"/>
            <w:tcBorders>
              <w:top w:val="single" w:sz="4" w:space="0" w:color="000000"/>
              <w:left w:val="single" w:sz="4" w:space="0" w:color="000000"/>
              <w:bottom w:val="single" w:sz="4" w:space="0" w:color="000000"/>
              <w:right w:val="single" w:sz="4" w:space="0" w:color="000000"/>
            </w:tcBorders>
          </w:tcPr>
          <w:p w:rsidR="00AB2E93" w:rsidRDefault="00AB2E93"/>
        </w:tc>
        <w:tc>
          <w:tcPr>
            <w:tcW w:w="2575" w:type="dxa"/>
            <w:tcBorders>
              <w:top w:val="single" w:sz="4" w:space="0" w:color="000000"/>
              <w:left w:val="single" w:sz="4" w:space="0" w:color="000000"/>
              <w:bottom w:val="single" w:sz="4" w:space="0" w:color="000000"/>
              <w:right w:val="single" w:sz="4" w:space="0" w:color="000000"/>
            </w:tcBorders>
          </w:tcPr>
          <w:p w:rsidR="00AB2E93" w:rsidRDefault="00AB2E93"/>
        </w:tc>
      </w:tr>
      <w:tr w:rsidR="00AB2E93" w:rsidTr="00C8694C">
        <w:trPr>
          <w:trHeight w:hRule="exact" w:val="455"/>
        </w:trPr>
        <w:tc>
          <w:tcPr>
            <w:tcW w:w="687"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10.</w:t>
            </w:r>
            <w:r>
              <w:rPr>
                <w:rFonts w:ascii="Times New Roman"/>
                <w:sz w:val="21"/>
                <w:lang w:eastAsia="zh-CN"/>
              </w:rPr>
              <w:t>2</w:t>
            </w:r>
          </w:p>
        </w:tc>
        <w:tc>
          <w:tcPr>
            <w:tcW w:w="4950"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仪器设备接地良好，设备使用完后，及时关闭电源</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044964">
        <w:trPr>
          <w:trHeight w:hRule="exact" w:val="352"/>
        </w:trPr>
        <w:tc>
          <w:tcPr>
            <w:tcW w:w="687"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46"/>
              <w:ind w:left="24"/>
              <w:jc w:val="both"/>
              <w:rPr>
                <w:rFonts w:ascii="Times New Roman" w:hAnsi="Times New Roman"/>
                <w:sz w:val="21"/>
                <w:szCs w:val="21"/>
              </w:rPr>
            </w:pPr>
            <w:r>
              <w:rPr>
                <w:rFonts w:ascii="Times New Roman"/>
                <w:sz w:val="21"/>
              </w:rPr>
              <w:t>10.</w:t>
            </w:r>
            <w:r>
              <w:rPr>
                <w:rFonts w:ascii="Times New Roman"/>
                <w:sz w:val="21"/>
                <w:lang w:eastAsia="zh-CN"/>
              </w:rPr>
              <w:t>3</w:t>
            </w:r>
          </w:p>
        </w:tc>
        <w:tc>
          <w:tcPr>
            <w:tcW w:w="4950"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line="272" w:lineRule="exact"/>
              <w:ind w:left="22"/>
              <w:jc w:val="both"/>
              <w:rPr>
                <w:rFonts w:ascii="宋体" w:cs="宋体"/>
                <w:sz w:val="21"/>
                <w:szCs w:val="21"/>
                <w:lang w:eastAsia="zh-CN"/>
              </w:rPr>
            </w:pPr>
            <w:r>
              <w:rPr>
                <w:rFonts w:ascii="宋体" w:hAnsi="宋体" w:cs="宋体" w:hint="eastAsia"/>
                <w:sz w:val="21"/>
                <w:szCs w:val="21"/>
                <w:lang w:eastAsia="zh-CN"/>
              </w:rPr>
              <w:t>有仪器设备运行、维护的记录</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r w:rsidR="00AB2E93" w:rsidTr="001F2F5E">
        <w:trPr>
          <w:trHeight w:hRule="exact" w:val="786"/>
        </w:trPr>
        <w:tc>
          <w:tcPr>
            <w:tcW w:w="687"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jc w:val="both"/>
              <w:rPr>
                <w:rFonts w:ascii="Times New Roman" w:hAnsi="Times New Roman"/>
                <w:sz w:val="23"/>
                <w:szCs w:val="23"/>
                <w:lang w:eastAsia="zh-CN"/>
              </w:rPr>
            </w:pPr>
          </w:p>
          <w:p w:rsidR="00AB2E93" w:rsidRDefault="00AB2E93">
            <w:pPr>
              <w:pStyle w:val="TableParagraph"/>
              <w:ind w:left="24"/>
              <w:jc w:val="both"/>
              <w:rPr>
                <w:rFonts w:ascii="Times New Roman" w:hAnsi="Times New Roman"/>
                <w:sz w:val="21"/>
                <w:szCs w:val="21"/>
              </w:rPr>
            </w:pPr>
            <w:r>
              <w:rPr>
                <w:rFonts w:ascii="Times New Roman"/>
                <w:sz w:val="21"/>
              </w:rPr>
              <w:t>10.</w:t>
            </w:r>
            <w:r>
              <w:rPr>
                <w:rFonts w:ascii="Times New Roman"/>
                <w:sz w:val="21"/>
                <w:lang w:eastAsia="zh-CN"/>
              </w:rPr>
              <w:t>4</w:t>
            </w:r>
          </w:p>
        </w:tc>
        <w:tc>
          <w:tcPr>
            <w:tcW w:w="4950"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对于高温、高压、高速运动、电磁辐射等特殊设备有安全警示标识，并配备相应安全防护设施（如防护罩、防护栏等）</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pStyle w:val="TableParagraph"/>
              <w:spacing w:line="250" w:lineRule="exact"/>
              <w:ind w:left="-138"/>
              <w:rPr>
                <w:rFonts w:ascii="宋体" w:cs="宋体"/>
                <w:sz w:val="21"/>
                <w:szCs w:val="21"/>
              </w:rPr>
            </w:pPr>
            <w:r>
              <w:rPr>
                <w:rFonts w:ascii="宋体" w:hAnsi="宋体" w:cs="宋体" w:hint="eastAsia"/>
                <w:sz w:val="21"/>
                <w:szCs w:val="21"/>
              </w:rPr>
              <w:t>，</w:t>
            </w: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tc>
        <w:tc>
          <w:tcPr>
            <w:tcW w:w="448" w:type="dxa"/>
            <w:tcBorders>
              <w:top w:val="single" w:sz="4" w:space="0" w:color="000000"/>
              <w:left w:val="single" w:sz="4" w:space="0" w:color="000000"/>
              <w:bottom w:val="single" w:sz="4" w:space="0" w:color="000000"/>
              <w:right w:val="single" w:sz="4" w:space="0" w:color="000000"/>
            </w:tcBorders>
          </w:tcPr>
          <w:p w:rsidR="00AB2E93" w:rsidRDefault="00AB2E93"/>
        </w:tc>
        <w:tc>
          <w:tcPr>
            <w:tcW w:w="2575" w:type="dxa"/>
            <w:tcBorders>
              <w:top w:val="single" w:sz="4" w:space="0" w:color="000000"/>
              <w:left w:val="single" w:sz="4" w:space="0" w:color="000000"/>
              <w:bottom w:val="single" w:sz="4" w:space="0" w:color="000000"/>
              <w:right w:val="single" w:sz="4" w:space="0" w:color="000000"/>
            </w:tcBorders>
          </w:tcPr>
          <w:p w:rsidR="00AB2E93" w:rsidRDefault="00AB2E93"/>
        </w:tc>
      </w:tr>
      <w:tr w:rsidR="00AB2E93" w:rsidTr="00B77FB2">
        <w:trPr>
          <w:trHeight w:hRule="exact" w:val="546"/>
        </w:trPr>
        <w:tc>
          <w:tcPr>
            <w:tcW w:w="687" w:type="dxa"/>
            <w:gridSpan w:val="3"/>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144"/>
              <w:ind w:left="24"/>
              <w:jc w:val="both"/>
              <w:rPr>
                <w:rFonts w:ascii="Times New Roman" w:hAnsi="Times New Roman"/>
                <w:sz w:val="21"/>
                <w:szCs w:val="21"/>
              </w:rPr>
            </w:pPr>
            <w:r>
              <w:rPr>
                <w:rFonts w:ascii="Times New Roman"/>
                <w:sz w:val="21"/>
              </w:rPr>
              <w:t>10.</w:t>
            </w:r>
            <w:r>
              <w:rPr>
                <w:rFonts w:ascii="Times New Roman"/>
                <w:sz w:val="21"/>
                <w:lang w:eastAsia="zh-CN"/>
              </w:rPr>
              <w:t>5</w:t>
            </w:r>
          </w:p>
        </w:tc>
        <w:tc>
          <w:tcPr>
            <w:tcW w:w="4950" w:type="dxa"/>
            <w:tcBorders>
              <w:top w:val="single" w:sz="4" w:space="0" w:color="000000"/>
              <w:left w:val="single" w:sz="4" w:space="0" w:color="000000"/>
              <w:bottom w:val="single" w:sz="4" w:space="0" w:color="000000"/>
              <w:right w:val="single" w:sz="4" w:space="0" w:color="000000"/>
            </w:tcBorders>
            <w:vAlign w:val="center"/>
          </w:tcPr>
          <w:p w:rsidR="00AB2E93" w:rsidRDefault="00AB2E93">
            <w:pPr>
              <w:pStyle w:val="TableParagraph"/>
              <w:spacing w:before="28" w:line="240" w:lineRule="exact"/>
              <w:ind w:left="22" w:right="107"/>
              <w:jc w:val="both"/>
              <w:rPr>
                <w:rFonts w:ascii="宋体" w:cs="宋体"/>
                <w:sz w:val="21"/>
                <w:szCs w:val="21"/>
                <w:lang w:eastAsia="zh-CN"/>
              </w:rPr>
            </w:pPr>
            <w:r>
              <w:rPr>
                <w:rFonts w:ascii="宋体" w:hAnsi="宋体" w:cs="宋体" w:hint="eastAsia"/>
                <w:sz w:val="21"/>
                <w:szCs w:val="21"/>
                <w:lang w:eastAsia="zh-CN"/>
              </w:rPr>
              <w:t>对于不能断电的特殊仪器设备，采取了必要的防护措施（如双路供电、不间断电源等）</w:t>
            </w:r>
          </w:p>
        </w:tc>
        <w:tc>
          <w:tcPr>
            <w:tcW w:w="406"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19"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448"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c>
          <w:tcPr>
            <w:tcW w:w="2575" w:type="dxa"/>
            <w:tcBorders>
              <w:top w:val="single" w:sz="4" w:space="0" w:color="000000"/>
              <w:left w:val="single" w:sz="4" w:space="0" w:color="000000"/>
              <w:bottom w:val="single" w:sz="4" w:space="0" w:color="000000"/>
              <w:right w:val="single" w:sz="4" w:space="0" w:color="000000"/>
            </w:tcBorders>
          </w:tcPr>
          <w:p w:rsidR="00AB2E93" w:rsidRDefault="00AB2E93">
            <w:pPr>
              <w:rPr>
                <w:lang w:eastAsia="zh-CN"/>
              </w:rPr>
            </w:pPr>
          </w:p>
        </w:tc>
      </w:tr>
    </w:tbl>
    <w:p w:rsidR="00AB2E93" w:rsidRDefault="00AB2E93">
      <w:pPr>
        <w:spacing w:before="107"/>
        <w:ind w:right="365"/>
        <w:rPr>
          <w:rFonts w:ascii="宋体" w:cs="宋体"/>
          <w:sz w:val="24"/>
          <w:szCs w:val="24"/>
          <w:lang w:eastAsia="zh-CN"/>
        </w:rPr>
      </w:pPr>
    </w:p>
    <w:sectPr w:rsidR="00AB2E93" w:rsidSect="0025137F">
      <w:footerReference w:type="even" r:id="rId7"/>
      <w:footerReference w:type="default" r:id="rId8"/>
      <w:pgSz w:w="11910" w:h="16840"/>
      <w:pgMar w:top="1600" w:right="1040" w:bottom="1300" w:left="1160" w:header="0" w:footer="1104" w:gutter="0"/>
      <w:pgNumType w:start="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81B" w:rsidRDefault="00D5081B" w:rsidP="0025137F">
      <w:r>
        <w:separator/>
      </w:r>
    </w:p>
  </w:endnote>
  <w:endnote w:type="continuationSeparator" w:id="0">
    <w:p w:rsidR="00D5081B" w:rsidRDefault="00D5081B" w:rsidP="00251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8F" w:rsidRDefault="008D5A00">
    <w:pPr>
      <w:pStyle w:val="a4"/>
      <w:jc w:val="center"/>
    </w:pPr>
    <w:fldSimple w:instr=" PAGE   \* MERGEFORMAT ">
      <w:r w:rsidR="000F5F72" w:rsidRPr="000F5F72">
        <w:rPr>
          <w:noProof/>
          <w:lang w:val="zh-CN"/>
        </w:rPr>
        <w:t>6</w:t>
      </w:r>
    </w:fldSimple>
  </w:p>
  <w:p w:rsidR="00AB2E93" w:rsidRDefault="00AB2E93">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93" w:rsidRDefault="00AB2E93">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81B" w:rsidRDefault="00D5081B" w:rsidP="0025137F">
      <w:r>
        <w:separator/>
      </w:r>
    </w:p>
  </w:footnote>
  <w:footnote w:type="continuationSeparator" w:id="0">
    <w:p w:rsidR="00D5081B" w:rsidRDefault="00D5081B" w:rsidP="00251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454FD"/>
    <w:multiLevelType w:val="hybridMultilevel"/>
    <w:tmpl w:val="5A747CFC"/>
    <w:lvl w:ilvl="0" w:tplc="C8642C86">
      <w:start w:val="1"/>
      <w:numFmt w:val="decimal"/>
      <w:lvlText w:val="%1."/>
      <w:lvlJc w:val="left"/>
      <w:pPr>
        <w:ind w:left="1268" w:hanging="360"/>
      </w:pPr>
      <w:rPr>
        <w:rFonts w:cs="Times New Roman" w:hint="default"/>
      </w:rPr>
    </w:lvl>
    <w:lvl w:ilvl="1" w:tplc="04090019" w:tentative="1">
      <w:start w:val="1"/>
      <w:numFmt w:val="lowerLetter"/>
      <w:lvlText w:val="%2)"/>
      <w:lvlJc w:val="left"/>
      <w:pPr>
        <w:ind w:left="1748" w:hanging="420"/>
      </w:pPr>
      <w:rPr>
        <w:rFonts w:cs="Times New Roman"/>
      </w:rPr>
    </w:lvl>
    <w:lvl w:ilvl="2" w:tplc="0409001B" w:tentative="1">
      <w:start w:val="1"/>
      <w:numFmt w:val="lowerRoman"/>
      <w:lvlText w:val="%3."/>
      <w:lvlJc w:val="right"/>
      <w:pPr>
        <w:ind w:left="2168" w:hanging="420"/>
      </w:pPr>
      <w:rPr>
        <w:rFonts w:cs="Times New Roman"/>
      </w:rPr>
    </w:lvl>
    <w:lvl w:ilvl="3" w:tplc="0409000F" w:tentative="1">
      <w:start w:val="1"/>
      <w:numFmt w:val="decimal"/>
      <w:lvlText w:val="%4."/>
      <w:lvlJc w:val="left"/>
      <w:pPr>
        <w:ind w:left="2588" w:hanging="420"/>
      </w:pPr>
      <w:rPr>
        <w:rFonts w:cs="Times New Roman"/>
      </w:rPr>
    </w:lvl>
    <w:lvl w:ilvl="4" w:tplc="04090019" w:tentative="1">
      <w:start w:val="1"/>
      <w:numFmt w:val="lowerLetter"/>
      <w:lvlText w:val="%5)"/>
      <w:lvlJc w:val="left"/>
      <w:pPr>
        <w:ind w:left="3008" w:hanging="420"/>
      </w:pPr>
      <w:rPr>
        <w:rFonts w:cs="Times New Roman"/>
      </w:rPr>
    </w:lvl>
    <w:lvl w:ilvl="5" w:tplc="0409001B" w:tentative="1">
      <w:start w:val="1"/>
      <w:numFmt w:val="lowerRoman"/>
      <w:lvlText w:val="%6."/>
      <w:lvlJc w:val="right"/>
      <w:pPr>
        <w:ind w:left="3428" w:hanging="420"/>
      </w:pPr>
      <w:rPr>
        <w:rFonts w:cs="Times New Roman"/>
      </w:rPr>
    </w:lvl>
    <w:lvl w:ilvl="6" w:tplc="0409000F" w:tentative="1">
      <w:start w:val="1"/>
      <w:numFmt w:val="decimal"/>
      <w:lvlText w:val="%7."/>
      <w:lvlJc w:val="left"/>
      <w:pPr>
        <w:ind w:left="3848" w:hanging="420"/>
      </w:pPr>
      <w:rPr>
        <w:rFonts w:cs="Times New Roman"/>
      </w:rPr>
    </w:lvl>
    <w:lvl w:ilvl="7" w:tplc="04090019" w:tentative="1">
      <w:start w:val="1"/>
      <w:numFmt w:val="lowerLetter"/>
      <w:lvlText w:val="%8)"/>
      <w:lvlJc w:val="left"/>
      <w:pPr>
        <w:ind w:left="4268" w:hanging="420"/>
      </w:pPr>
      <w:rPr>
        <w:rFonts w:cs="Times New Roman"/>
      </w:rPr>
    </w:lvl>
    <w:lvl w:ilvl="8" w:tplc="0409001B" w:tentative="1">
      <w:start w:val="1"/>
      <w:numFmt w:val="lowerRoman"/>
      <w:lvlText w:val="%9."/>
      <w:lvlJc w:val="right"/>
      <w:pPr>
        <w:ind w:left="4688"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evenAndOddHeaders/>
  <w:drawingGridHorizontalSpacing w:val="110"/>
  <w:displayHorizontalDrawingGridEvery w:val="2"/>
  <w:characterSpacingControl w:val="doNotCompress"/>
  <w:noLineBreaksAfter w:lang="zh-CN" w:val="$([{£¥·‘“〈《「『【〔〖〝﹙﹛﹝＄（．［｛￡￥"/>
  <w:noLineBreaksBefore w:lang="zh-CN" w:val="!%),.:;&gt;?]}¢¨°·ˇˉ―‖’”…‰′″›℃∶、。〃〉》」』】〕〗〞︶︺︾﹀﹄﹚﹜﹞！＂％＇），．：；？］｀｜｝～￠"/>
  <w:hdrShapeDefaults>
    <o:shapedefaults v:ext="edit" spidmax="5122"/>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903"/>
    <w:rsid w:val="0000618F"/>
    <w:rsid w:val="00006615"/>
    <w:rsid w:val="00010C78"/>
    <w:rsid w:val="0002398F"/>
    <w:rsid w:val="00027433"/>
    <w:rsid w:val="00044964"/>
    <w:rsid w:val="00064121"/>
    <w:rsid w:val="00071448"/>
    <w:rsid w:val="000772C6"/>
    <w:rsid w:val="00092178"/>
    <w:rsid w:val="000B56CB"/>
    <w:rsid w:val="000D3966"/>
    <w:rsid w:val="000F5F72"/>
    <w:rsid w:val="000F7903"/>
    <w:rsid w:val="00156B5D"/>
    <w:rsid w:val="001A394D"/>
    <w:rsid w:val="001C1250"/>
    <w:rsid w:val="001D7039"/>
    <w:rsid w:val="001F0688"/>
    <w:rsid w:val="001F2F5E"/>
    <w:rsid w:val="00203837"/>
    <w:rsid w:val="0025137F"/>
    <w:rsid w:val="00284F9D"/>
    <w:rsid w:val="002A5C97"/>
    <w:rsid w:val="002C615B"/>
    <w:rsid w:val="002C6807"/>
    <w:rsid w:val="002D2023"/>
    <w:rsid w:val="002E6022"/>
    <w:rsid w:val="002F6E9A"/>
    <w:rsid w:val="003330E8"/>
    <w:rsid w:val="00341803"/>
    <w:rsid w:val="0039441B"/>
    <w:rsid w:val="003A62DE"/>
    <w:rsid w:val="003F6A71"/>
    <w:rsid w:val="00403430"/>
    <w:rsid w:val="00465CF4"/>
    <w:rsid w:val="00480F85"/>
    <w:rsid w:val="005249DC"/>
    <w:rsid w:val="00552E40"/>
    <w:rsid w:val="005D654A"/>
    <w:rsid w:val="005F2A42"/>
    <w:rsid w:val="00613036"/>
    <w:rsid w:val="0061593B"/>
    <w:rsid w:val="006406F5"/>
    <w:rsid w:val="00647AB5"/>
    <w:rsid w:val="00665402"/>
    <w:rsid w:val="00693520"/>
    <w:rsid w:val="006A3F50"/>
    <w:rsid w:val="006D6852"/>
    <w:rsid w:val="006E1614"/>
    <w:rsid w:val="007130A7"/>
    <w:rsid w:val="00714C16"/>
    <w:rsid w:val="00716973"/>
    <w:rsid w:val="007C4656"/>
    <w:rsid w:val="007D229A"/>
    <w:rsid w:val="00810B9B"/>
    <w:rsid w:val="00830E36"/>
    <w:rsid w:val="0084183F"/>
    <w:rsid w:val="00864CD2"/>
    <w:rsid w:val="008851B5"/>
    <w:rsid w:val="008B4607"/>
    <w:rsid w:val="008D5A00"/>
    <w:rsid w:val="008D6027"/>
    <w:rsid w:val="008F24DE"/>
    <w:rsid w:val="009049A9"/>
    <w:rsid w:val="00913FD3"/>
    <w:rsid w:val="0095113B"/>
    <w:rsid w:val="00951D44"/>
    <w:rsid w:val="0097669D"/>
    <w:rsid w:val="00986538"/>
    <w:rsid w:val="009C2BA0"/>
    <w:rsid w:val="009D5428"/>
    <w:rsid w:val="009F1118"/>
    <w:rsid w:val="009F5BBE"/>
    <w:rsid w:val="00A15D2D"/>
    <w:rsid w:val="00A32E37"/>
    <w:rsid w:val="00A812A5"/>
    <w:rsid w:val="00A8793A"/>
    <w:rsid w:val="00AB2E93"/>
    <w:rsid w:val="00B06A98"/>
    <w:rsid w:val="00B1599D"/>
    <w:rsid w:val="00B56C51"/>
    <w:rsid w:val="00B67CAA"/>
    <w:rsid w:val="00B77FB2"/>
    <w:rsid w:val="00B957C9"/>
    <w:rsid w:val="00BA5A34"/>
    <w:rsid w:val="00C15263"/>
    <w:rsid w:val="00C32A76"/>
    <w:rsid w:val="00C62FA8"/>
    <w:rsid w:val="00C72098"/>
    <w:rsid w:val="00C84389"/>
    <w:rsid w:val="00C86428"/>
    <w:rsid w:val="00C8694C"/>
    <w:rsid w:val="00CD7C3D"/>
    <w:rsid w:val="00CE3F63"/>
    <w:rsid w:val="00D267FE"/>
    <w:rsid w:val="00D34036"/>
    <w:rsid w:val="00D5081B"/>
    <w:rsid w:val="00D92339"/>
    <w:rsid w:val="00DC3F3C"/>
    <w:rsid w:val="00DF5C19"/>
    <w:rsid w:val="00E0332E"/>
    <w:rsid w:val="00E11F1D"/>
    <w:rsid w:val="00E21390"/>
    <w:rsid w:val="00E92A8C"/>
    <w:rsid w:val="00E92D87"/>
    <w:rsid w:val="00EC2A2C"/>
    <w:rsid w:val="00EF37E0"/>
    <w:rsid w:val="00F15AF9"/>
    <w:rsid w:val="00F3170D"/>
    <w:rsid w:val="00F96F67"/>
    <w:rsid w:val="00FB3DB6"/>
    <w:rsid w:val="00FB592D"/>
    <w:rsid w:val="00FD736B"/>
    <w:rsid w:val="08177753"/>
    <w:rsid w:val="12A130A0"/>
    <w:rsid w:val="13CF028E"/>
    <w:rsid w:val="162177DE"/>
    <w:rsid w:val="28283572"/>
    <w:rsid w:val="2B3866F7"/>
    <w:rsid w:val="2FD53690"/>
    <w:rsid w:val="3A651D5D"/>
    <w:rsid w:val="3ACB7183"/>
    <w:rsid w:val="506E5C81"/>
    <w:rsid w:val="53884C19"/>
    <w:rsid w:val="5A047A3B"/>
    <w:rsid w:val="62392EB4"/>
    <w:rsid w:val="70A82C64"/>
    <w:rsid w:val="7295118A"/>
    <w:rsid w:val="730F4759"/>
    <w:rsid w:val="788F055B"/>
    <w:rsid w:val="7A50273A"/>
    <w:rsid w:val="7B6F2B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5137F"/>
    <w:pPr>
      <w:widowControl w:val="0"/>
    </w:pPr>
    <w:rPr>
      <w:rFonts w:cs="Times New Roman"/>
      <w:sz w:val="22"/>
      <w:szCs w:val="22"/>
      <w:lang w:eastAsia="en-US"/>
    </w:rPr>
  </w:style>
  <w:style w:type="paragraph" w:styleId="1">
    <w:name w:val="heading 1"/>
    <w:basedOn w:val="a"/>
    <w:link w:val="1Char"/>
    <w:uiPriority w:val="99"/>
    <w:qFormat/>
    <w:rsid w:val="0025137F"/>
    <w:pPr>
      <w:spacing w:before="130"/>
      <w:ind w:left="2129"/>
      <w:outlineLvl w:val="0"/>
    </w:pPr>
    <w:rPr>
      <w:rFonts w:ascii="宋体" w:hAnsi="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5137F"/>
    <w:rPr>
      <w:rFonts w:cs="Times New Roman"/>
      <w:b/>
      <w:bCs/>
      <w:kern w:val="44"/>
      <w:sz w:val="44"/>
      <w:szCs w:val="44"/>
      <w:lang w:eastAsia="en-US"/>
    </w:rPr>
  </w:style>
  <w:style w:type="paragraph" w:styleId="a3">
    <w:name w:val="Body Text"/>
    <w:basedOn w:val="a"/>
    <w:link w:val="Char"/>
    <w:uiPriority w:val="99"/>
    <w:rsid w:val="0025137F"/>
    <w:pPr>
      <w:spacing w:before="161"/>
      <w:ind w:left="111"/>
    </w:pPr>
    <w:rPr>
      <w:rFonts w:ascii="宋体" w:hAnsi="宋体"/>
      <w:sz w:val="32"/>
      <w:szCs w:val="32"/>
    </w:rPr>
  </w:style>
  <w:style w:type="character" w:customStyle="1" w:styleId="Char">
    <w:name w:val="正文文本 Char"/>
    <w:basedOn w:val="a0"/>
    <w:link w:val="a3"/>
    <w:uiPriority w:val="99"/>
    <w:semiHidden/>
    <w:locked/>
    <w:rsid w:val="0025137F"/>
    <w:rPr>
      <w:rFonts w:cs="Times New Roman"/>
      <w:kern w:val="0"/>
      <w:sz w:val="22"/>
      <w:lang w:eastAsia="en-US"/>
    </w:rPr>
  </w:style>
  <w:style w:type="paragraph" w:styleId="a4">
    <w:name w:val="footer"/>
    <w:basedOn w:val="a"/>
    <w:link w:val="Char0"/>
    <w:uiPriority w:val="99"/>
    <w:rsid w:val="0025137F"/>
    <w:pPr>
      <w:tabs>
        <w:tab w:val="center" w:pos="4153"/>
        <w:tab w:val="right" w:pos="8306"/>
      </w:tabs>
      <w:snapToGrid w:val="0"/>
    </w:pPr>
    <w:rPr>
      <w:sz w:val="18"/>
      <w:szCs w:val="18"/>
    </w:rPr>
  </w:style>
  <w:style w:type="character" w:customStyle="1" w:styleId="Char0">
    <w:name w:val="页脚 Char"/>
    <w:basedOn w:val="a0"/>
    <w:link w:val="a4"/>
    <w:uiPriority w:val="99"/>
    <w:locked/>
    <w:rsid w:val="0025137F"/>
    <w:rPr>
      <w:rFonts w:cs="Times New Roman"/>
      <w:kern w:val="0"/>
      <w:sz w:val="18"/>
      <w:szCs w:val="18"/>
      <w:lang w:eastAsia="en-US"/>
    </w:rPr>
  </w:style>
  <w:style w:type="paragraph" w:styleId="a5">
    <w:name w:val="header"/>
    <w:basedOn w:val="a"/>
    <w:link w:val="Char1"/>
    <w:uiPriority w:val="99"/>
    <w:rsid w:val="002513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25137F"/>
    <w:rPr>
      <w:rFonts w:cs="Times New Roman"/>
      <w:kern w:val="0"/>
      <w:sz w:val="18"/>
      <w:szCs w:val="18"/>
      <w:lang w:eastAsia="en-US"/>
    </w:rPr>
  </w:style>
  <w:style w:type="paragraph" w:customStyle="1" w:styleId="10">
    <w:name w:val="列出段落1"/>
    <w:basedOn w:val="a"/>
    <w:uiPriority w:val="99"/>
    <w:rsid w:val="0025137F"/>
  </w:style>
  <w:style w:type="paragraph" w:customStyle="1" w:styleId="TableParagraph">
    <w:name w:val="Table Paragraph"/>
    <w:basedOn w:val="a"/>
    <w:uiPriority w:val="99"/>
    <w:rsid w:val="002513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391</Words>
  <Characters>2231</Characters>
  <Application>Microsoft Office Word</Application>
  <DocSecurity>0</DocSecurity>
  <Lines>18</Lines>
  <Paragraphs>5</Paragraphs>
  <ScaleCrop>false</ScaleCrop>
  <Company>Sky123.Org</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教育厅政策文件</dc:title>
  <dc:subject/>
  <dc:creator>何果</dc:creator>
  <cp:keywords/>
  <dc:description/>
  <cp:lastModifiedBy>TJF</cp:lastModifiedBy>
  <cp:revision>7</cp:revision>
  <cp:lastPrinted>2015-06-23T00:17:00Z</cp:lastPrinted>
  <dcterms:created xsi:type="dcterms:W3CDTF">2015-12-23T06:13:00Z</dcterms:created>
  <dcterms:modified xsi:type="dcterms:W3CDTF">2015-12-23T15:46:00Z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7.0 for Word</vt:lpwstr>
  </property>
  <property fmtid="{D5CDD505-2E9C-101B-9397-08002B2CF9AE}" pid="3" name="KSOProductBuildVer">
    <vt:lpwstr>2052-9.1.0.5100</vt:lpwstr>
  </property>
</Properties>
</file>