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theme="minorBidi"/>
          <w:b/>
          <w:bCs/>
          <w:spacing w:val="14"/>
          <w:kern w:val="2"/>
          <w:sz w:val="30"/>
          <w:szCs w:val="30"/>
          <w:shd w:val="clear" w:color="auto" w:fill="FBFBFB"/>
          <w:lang w:val="en-US" w:eastAsia="zh-CN" w:bidi="ar-SA"/>
        </w:rPr>
      </w:pPr>
      <w:r>
        <w:rPr>
          <w:rFonts w:hint="eastAsia" w:ascii="微软雅黑" w:hAnsi="微软雅黑" w:eastAsia="微软雅黑" w:cstheme="minorBidi"/>
          <w:b/>
          <w:bCs/>
          <w:spacing w:val="14"/>
          <w:kern w:val="2"/>
          <w:sz w:val="30"/>
          <w:szCs w:val="30"/>
          <w:shd w:val="clear" w:color="auto" w:fill="FBFBFB"/>
          <w:lang w:val="en-US" w:eastAsia="zh-CN" w:bidi="ar-SA"/>
        </w:rPr>
        <w:t>实验室恢复使用安全温馨提示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theme="minorBidi"/>
          <w:b/>
          <w:bCs/>
          <w:spacing w:val="14"/>
          <w:kern w:val="2"/>
          <w:sz w:val="30"/>
          <w:szCs w:val="30"/>
          <w:shd w:val="clear" w:color="auto" w:fill="FBFBFB"/>
          <w:lang w:val="en-US" w:eastAsia="zh-CN" w:bidi="ar-SA"/>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长期关闭的实验室，首次开启时需充分通风换气</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危险源排查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全面排查实验室危险源，建立危险源清单并落实防控防护措施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首次进入实验室房间开展实验的人员必须进行危险源辨识并进行安全承诺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科研项目风险评估和管控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检查是否针对正在开展和拟开展科研项目已进行实验安全</w:t>
      </w:r>
      <w:r>
        <w:rPr>
          <w:color w:val="DD522C"/>
        </w:rPr>
        <w:t>风险评估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检查是否针对科研项目涉及到的危险源（特别是危险化学品、压力容器、高温设备、大功率设备、生物安全以及水电气安全等）已制定管控措施和应急预案，并具体实施</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实验室基础设施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检查实验供排水设施是否有破损、老化现象，如有异常</w:t>
      </w:r>
      <w:r>
        <w:rPr>
          <w:color w:val="DD522C"/>
        </w:rPr>
        <w:t>及时报修或更替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检查实验配电箱、线路、开关、控制器、插座等有无故障，检查实验室内有无临时电源和私拉乱接现象，及时报修，联系电工拆除违规使用供电设施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检查实验室门窗是否可正常开启、关闭、上锁，如有异常及时报修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检查实验室墙面、地面、实验台状态，及时报修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检查实验室照明设施，及时报修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检查实验室安全信息牌各要素是否齐全，及时完善</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消防设施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检查实验室内烟感报警器、灭火器、灭火毯、消防沙桶等设施配置及功能是否正常，及时完善设施配置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检查实验室、实验楼逃生通道，移除阻挡逃生路通道物品</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气体钢瓶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w:t>
      </w:r>
      <w:r>
        <w:rPr>
          <w:color w:val="3E3E3E"/>
        </w:rPr>
        <w:t>检查气体钢瓶是否帐物相符，及时清理僵尸钢瓶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xml:space="preserve">□ </w:t>
      </w:r>
      <w:r>
        <w:rPr>
          <w:color w:val="3E3E3E"/>
        </w:rPr>
        <w:t>检查气体钢瓶</w:t>
      </w:r>
      <w:r>
        <w:rPr>
          <w:color w:val="DD522C"/>
        </w:rPr>
        <w:t>是否超过钢瓶检验周期</w:t>
      </w:r>
      <w:r>
        <w:rPr>
          <w:color w:val="3E3E3E"/>
        </w:rPr>
        <w:t>，及时退回供应商</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color w:val="3E3E3E"/>
        </w:rPr>
        <w:t>□ 检查气体管路是否松动泄露，采用适合的检漏等方法进行验证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color w:val="3E3E3E"/>
        </w:rPr>
        <w:t>□ 检查气体钢瓶减压器是否完好，及时进行更替，氧气专用减压器严禁混用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color w:val="3E3E3E"/>
        </w:rPr>
        <w:t>□ 检查气体报警器等安全设施是否在有效期内，及时送检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color w:val="3E3E3E"/>
        </w:rPr>
        <w:t>□ 检查气体钢瓶固定装置是否松动，及时报修或更替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color w:val="3E3E3E"/>
        </w:rPr>
        <w:t>□ 检查使用气体钢瓶房间或通风柜的通风设施是否完好，及时报修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color w:val="3E3E3E"/>
        </w:rPr>
        <w:t>□ 检查存储易燃气体的钢瓶柜的安全附件是否满足防爆要求</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化学品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检查易制毒、易制爆等管制化学品</w:t>
      </w:r>
      <w:r>
        <w:rPr>
          <w:color w:val="DD522C"/>
        </w:rPr>
        <w:t>是否帐物相符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检查易制毒、易制爆等管制化学品存储安全措施是否完好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检查过氧化物及久置</w:t>
      </w:r>
      <w:r>
        <w:rPr>
          <w:color w:val="DD522C"/>
        </w:rPr>
        <w:t>易于产生过氧化物的化学品（参见附录）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检查腐蚀性药品是否存在包装不完整、破损、标签不清等情况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检查化学品，特别是易燃化学品，是否合规适量存储，严禁裸放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检查化学品及废液包装是否有涨桶等不安全现象，并妥善处理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检查化学品存储柜等设施是否有腐蚀松动现象，及时进行报修或更替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注意化学品存储禁忌，使用前先查阅安全技术说明书（MSDS）</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个人防护用品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检查防毒面罩滤盒</w:t>
      </w:r>
      <w:r>
        <w:rPr>
          <w:color w:val="DD522C"/>
        </w:rPr>
        <w:t>是否需要更换，</w:t>
      </w:r>
      <w:r>
        <w:rPr>
          <w:color w:val="3E3E3E"/>
        </w:rPr>
        <w:t>松紧带</w:t>
      </w:r>
      <w:r>
        <w:rPr>
          <w:color w:val="DD522C"/>
        </w:rPr>
        <w:t>是否过松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w:t>
      </w:r>
      <w:r>
        <w:rPr>
          <w:color w:val="3E3E3E"/>
        </w:rPr>
        <w:t>检查口罩等呼吸防护手段</w:t>
      </w:r>
      <w:r>
        <w:rPr>
          <w:color w:val="DD522C"/>
        </w:rPr>
        <w:t>是否过期或存在破损</w:t>
      </w:r>
      <w:r>
        <w:rPr>
          <w:color w:val="3E3E3E"/>
        </w:rPr>
        <w:t>，严禁交叉使用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检查呼吸防护用具的呼吸阀是否密合，确保防护性能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检查实验室手套、口罩选型是否合适、数量是否足够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检查眼部防护用品是否符合要求，及时进行更替</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特种设备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检查特种设备本体及安全附件是否过期未检或损坏，及时报检或送检、维修、更换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检查设备管路、接口等是否松动，及时进行报修或更替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操作人员在使用设备前认真重温操作规程和应急程序</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rStyle w:val="5"/>
          <w:rFonts w:ascii="Times New Roman" w:hAnsi="Times New Roman" w:eastAsia="宋体" w:cs="Times New Roman"/>
          <w:color w:val="auto"/>
        </w:rPr>
      </w:pPr>
      <w:r>
        <w:rPr>
          <w:rStyle w:val="5"/>
          <w:rFonts w:ascii="Times New Roman" w:hAnsi="Times New Roman" w:eastAsia="宋体" w:cs="Times New Roman"/>
          <w:color w:val="auto"/>
        </w:rPr>
        <w:t>仪器设备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重新恢复使用应按照标准操作流程进行检查，确保实验室安全，如有异常及时报修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设备进行维护保养、校准（如需要）、更换耗材等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20" w:leftChars="0" w:right="0" w:hanging="420" w:firstLineChars="0"/>
        <w:textAlignment w:val="auto"/>
        <w:rPr>
          <w:color w:val="auto"/>
        </w:rPr>
      </w:pPr>
      <w:r>
        <w:rPr>
          <w:rStyle w:val="5"/>
          <w:color w:val="auto"/>
        </w:rPr>
        <w:t>其他注意事项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xml:space="preserve">□ </w:t>
      </w:r>
      <w:r>
        <w:rPr>
          <w:color w:val="DD522C"/>
        </w:rPr>
        <w:t>实验期间严禁无人值守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检查实验室通风设施运转是否正常，及时报修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检查实验室应急药品、设施是否过期，失效，及时进行更换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检查实验室紧急喷淋设备出水是否洁净，水量、水压是否合适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检查实验室内各类警示标示张贴情况，如有缺失请至行政楼111办公室领取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做好实验室安全台账管理，包括危险化学品管理和使用台账、气体钢瓶管理和使用台账、实验室安全自查台账、各类设备（含特种设备、高低温设备、切削、激光类设备等）维护保养及使用台帐等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rStyle w:val="5"/>
        </w:rPr>
        <w:t>附录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易产生过氧化物的化学品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textAlignment w:val="auto"/>
      </w:pPr>
      <w:r>
        <w:t>A类（进行过氧化物检测或3个月后弃用）：异丙醚、二乙烯基乙炔、金属钾、氨基钾、氨基钠、偏二氯乙烯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textAlignment w:val="auto"/>
      </w:pPr>
      <w:r>
        <w:t>B类（进行过氧化物检测或12个月后弃用）：乙缩醛、乙二醇二甲醚、乙醛、呋喃、苯甲醇、甲基乙炔、2-丁醇、甲基环戊烷、异丙苯、甲基异丁基甲酮、环己醇、2-戊醇、丁二炔、1-苯基乙醇、二环戊二烯、四氢化萘、乙醚、四氢呋喃、二乙二醇二甲醚、乙烯醚、二氧六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textAlignment w:val="auto"/>
      </w:pPr>
      <w:r>
        <w:t>C类（进行过氧化物检测或12个月后弃用，液态储存应于3个月后弃用）：丙烯酸、苯乙烯、丙烯腈、四氟乙烯、丁二烯、乙烯基乙炔、氯丁二烯、醋酸乙烯酯、三氟氯乙烯、氯乙烯、甲基丙烯酸甲酯、乙烯基吡啶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6355BE"/>
    <w:multiLevelType w:val="singleLevel"/>
    <w:tmpl w:val="7A6355B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427076"/>
    <w:rsid w:val="1F200D77"/>
    <w:rsid w:val="48D5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2022-02-16T04:37:45Z</dcterms:created>
  <dc:creator>Administrator.XTZJ-2017SYRWTQ</dc:creator>
  <cp:lastModifiedBy>Administrator</cp:lastModifiedBy>
  <dcterms:modified xsi:type="dcterms:W3CDTF">2022-02-16T04:41:18Z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6A3ECB0B584C41958983A070B0C2BBA5</vt:lpwstr>
  </property>
</Properties>
</file>