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FFF" w:rsidRPr="00CC0DCE" w:rsidRDefault="001A3FFF" w:rsidP="001A3FFF">
      <w:pPr>
        <w:pStyle w:val="Default"/>
        <w:ind w:firstLineChars="200" w:firstLine="562"/>
        <w:jc w:val="both"/>
        <w:rPr>
          <w:rFonts w:ascii="仿宋_GB2312" w:eastAsia="仿宋_GB2312" w:hAnsi="Times New Roman" w:cs="仿宋_GB2312"/>
          <w:b/>
          <w:bCs/>
          <w:color w:val="auto"/>
          <w:sz w:val="28"/>
          <w:szCs w:val="28"/>
        </w:rPr>
      </w:pPr>
      <w:bookmarkStart w:id="0" w:name="_GoBack"/>
      <w:bookmarkEnd w:id="0"/>
      <w:r w:rsidRPr="00CC0DCE">
        <w:rPr>
          <w:rFonts w:ascii="仿宋_GB2312" w:eastAsia="仿宋_GB2312" w:hAnsi="Times New Roman" w:cs="仿宋_GB2312" w:hint="eastAsia"/>
          <w:b/>
          <w:bCs/>
          <w:color w:val="auto"/>
          <w:sz w:val="28"/>
          <w:szCs w:val="28"/>
        </w:rPr>
        <w:t>附表：</w:t>
      </w:r>
    </w:p>
    <w:p w:rsidR="001A3FFF" w:rsidRPr="00CC0DCE" w:rsidRDefault="001A3FFF" w:rsidP="001A3FFF">
      <w:pPr>
        <w:pStyle w:val="Default"/>
        <w:ind w:firstLineChars="200" w:firstLine="643"/>
        <w:jc w:val="center"/>
        <w:rPr>
          <w:rFonts w:ascii="仿宋_GB2312" w:eastAsia="仿宋_GB2312" w:hAnsi="Times New Roman" w:cs="仿宋_GB2312"/>
          <w:b/>
          <w:bCs/>
          <w:color w:val="auto"/>
          <w:sz w:val="32"/>
          <w:szCs w:val="32"/>
        </w:rPr>
      </w:pPr>
      <w:r w:rsidRPr="00CC0DCE">
        <w:rPr>
          <w:rFonts w:ascii="仿宋_GB2312" w:eastAsia="仿宋_GB2312" w:hAnsi="Times New Roman" w:cs="仿宋_GB2312" w:hint="eastAsia"/>
          <w:b/>
          <w:bCs/>
          <w:color w:val="auto"/>
          <w:sz w:val="32"/>
          <w:szCs w:val="32"/>
        </w:rPr>
        <w:t>《东华大学实验室安全专项行动实施方案》分工安排任务分解表</w:t>
      </w:r>
    </w:p>
    <w:p w:rsidR="001A3FFF" w:rsidRPr="00E634B8" w:rsidRDefault="001A3FFF" w:rsidP="001A3FFF">
      <w:pPr>
        <w:spacing w:line="380" w:lineRule="exact"/>
        <w:rPr>
          <w:rFonts w:ascii="仿宋" w:eastAsia="仿宋" w:hAnsi="仿宋"/>
        </w:rPr>
      </w:pPr>
    </w:p>
    <w:tbl>
      <w:tblPr>
        <w:tblW w:w="13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2"/>
        <w:gridCol w:w="7796"/>
        <w:gridCol w:w="1843"/>
        <w:gridCol w:w="1980"/>
      </w:tblGrid>
      <w:tr w:rsidR="001A3FFF" w:rsidRPr="00454D70" w:rsidTr="00ED3ACA">
        <w:trPr>
          <w:trHeight w:val="372"/>
          <w:tblHeader/>
          <w:jc w:val="center"/>
        </w:trPr>
        <w:tc>
          <w:tcPr>
            <w:tcW w:w="1402" w:type="dxa"/>
            <w:shd w:val="clear" w:color="auto" w:fill="auto"/>
            <w:tcMar>
              <w:top w:w="15" w:type="dxa"/>
              <w:left w:w="15" w:type="dxa"/>
              <w:bottom w:w="0" w:type="dxa"/>
              <w:right w:w="15" w:type="dxa"/>
            </w:tcMar>
            <w:vAlign w:val="center"/>
            <w:hideMark/>
          </w:tcPr>
          <w:p w:rsidR="001A3FFF" w:rsidRPr="00454D70" w:rsidRDefault="001A3FFF" w:rsidP="00ED3ACA">
            <w:pPr>
              <w:pStyle w:val="Default"/>
              <w:snapToGrid w:val="0"/>
              <w:spacing w:line="360" w:lineRule="auto"/>
              <w:jc w:val="center"/>
              <w:rPr>
                <w:rFonts w:ascii="仿宋_GB2312" w:eastAsia="仿宋_GB2312" w:hAnsi="Times New Roman" w:cs="仿宋_GB2312"/>
                <w:b/>
                <w:bCs/>
                <w:color w:val="auto"/>
              </w:rPr>
            </w:pPr>
            <w:r w:rsidRPr="00454D70">
              <w:rPr>
                <w:rFonts w:ascii="仿宋_GB2312" w:eastAsia="仿宋_GB2312" w:hAnsi="Times New Roman" w:cs="仿宋_GB2312" w:hint="eastAsia"/>
                <w:b/>
                <w:bCs/>
                <w:color w:val="auto"/>
              </w:rPr>
              <w:t>主要任务</w:t>
            </w:r>
          </w:p>
        </w:tc>
        <w:tc>
          <w:tcPr>
            <w:tcW w:w="7796" w:type="dxa"/>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b/>
                <w:bCs/>
                <w:color w:val="auto"/>
              </w:rPr>
            </w:pPr>
            <w:r w:rsidRPr="00454D70">
              <w:rPr>
                <w:rFonts w:ascii="仿宋_GB2312" w:eastAsia="仿宋_GB2312" w:hAnsi="Times New Roman" w:cs="仿宋_GB2312" w:hint="eastAsia"/>
                <w:b/>
                <w:bCs/>
                <w:color w:val="auto"/>
              </w:rPr>
              <w:t>子任务</w:t>
            </w:r>
          </w:p>
        </w:tc>
        <w:tc>
          <w:tcPr>
            <w:tcW w:w="1843" w:type="dxa"/>
            <w:shd w:val="clear" w:color="auto" w:fill="auto"/>
            <w:tcMar>
              <w:top w:w="15" w:type="dxa"/>
              <w:left w:w="15" w:type="dxa"/>
              <w:bottom w:w="0" w:type="dxa"/>
              <w:right w:w="15" w:type="dxa"/>
            </w:tcMar>
            <w:vAlign w:val="center"/>
            <w:hideMark/>
          </w:tcPr>
          <w:p w:rsidR="001A3FFF" w:rsidRPr="00454D70" w:rsidRDefault="001A3FFF" w:rsidP="00ED3ACA">
            <w:pPr>
              <w:pStyle w:val="Default"/>
              <w:snapToGrid w:val="0"/>
              <w:spacing w:line="360" w:lineRule="auto"/>
              <w:jc w:val="center"/>
              <w:rPr>
                <w:rFonts w:ascii="仿宋_GB2312" w:eastAsia="仿宋_GB2312" w:hAnsi="Times New Roman" w:cs="仿宋_GB2312"/>
                <w:b/>
                <w:bCs/>
                <w:color w:val="auto"/>
              </w:rPr>
            </w:pPr>
            <w:r w:rsidRPr="00454D70">
              <w:rPr>
                <w:rFonts w:ascii="仿宋_GB2312" w:eastAsia="仿宋_GB2312" w:hAnsi="Times New Roman" w:cs="仿宋_GB2312" w:hint="eastAsia"/>
                <w:b/>
                <w:bCs/>
                <w:color w:val="auto"/>
              </w:rPr>
              <w:t>牵头单位</w:t>
            </w:r>
          </w:p>
        </w:tc>
        <w:tc>
          <w:tcPr>
            <w:tcW w:w="1980" w:type="dxa"/>
            <w:shd w:val="clear" w:color="auto" w:fill="auto"/>
            <w:tcMar>
              <w:top w:w="15" w:type="dxa"/>
              <w:left w:w="15" w:type="dxa"/>
              <w:bottom w:w="0" w:type="dxa"/>
              <w:right w:w="15" w:type="dxa"/>
            </w:tcMar>
            <w:vAlign w:val="center"/>
            <w:hideMark/>
          </w:tcPr>
          <w:p w:rsidR="001A3FFF" w:rsidRPr="00454D70" w:rsidRDefault="001A3FFF" w:rsidP="00ED3ACA">
            <w:pPr>
              <w:pStyle w:val="Default"/>
              <w:snapToGrid w:val="0"/>
              <w:spacing w:line="360" w:lineRule="auto"/>
              <w:jc w:val="center"/>
              <w:rPr>
                <w:rFonts w:ascii="仿宋_GB2312" w:eastAsia="仿宋_GB2312" w:hAnsi="Times New Roman" w:cs="仿宋_GB2312"/>
                <w:b/>
                <w:bCs/>
                <w:color w:val="auto"/>
              </w:rPr>
            </w:pPr>
            <w:r w:rsidRPr="00454D70">
              <w:rPr>
                <w:rFonts w:ascii="仿宋_GB2312" w:eastAsia="仿宋_GB2312" w:hAnsi="Times New Roman" w:cs="仿宋_GB2312" w:hint="eastAsia"/>
                <w:b/>
                <w:bCs/>
                <w:color w:val="auto"/>
              </w:rPr>
              <w:t>参与单位</w:t>
            </w:r>
          </w:p>
        </w:tc>
      </w:tr>
      <w:tr w:rsidR="001A3FFF" w:rsidRPr="003F326D" w:rsidTr="00ED3ACA">
        <w:trPr>
          <w:trHeight w:val="1133"/>
          <w:jc w:val="center"/>
        </w:trPr>
        <w:tc>
          <w:tcPr>
            <w:tcW w:w="1402" w:type="dxa"/>
            <w:vMerge w:val="restart"/>
            <w:shd w:val="clear" w:color="auto" w:fill="auto"/>
            <w:tcMar>
              <w:top w:w="15" w:type="dxa"/>
              <w:left w:w="15" w:type="dxa"/>
              <w:bottom w:w="0" w:type="dxa"/>
              <w:right w:w="15" w:type="dxa"/>
            </w:tcMar>
            <w:vAlign w:val="center"/>
            <w:hideMark/>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r w:rsidRPr="006F7825">
              <w:rPr>
                <w:rFonts w:ascii="仿宋_GB2312" w:eastAsia="仿宋_GB2312" w:hAnsi="Times New Roman" w:cs="仿宋_GB2312" w:hint="eastAsia"/>
                <w:b/>
                <w:bCs/>
                <w:color w:val="auto"/>
              </w:rPr>
              <w:t>一、全面落实实验室安全责任体系</w:t>
            </w:r>
          </w:p>
        </w:tc>
        <w:tc>
          <w:tcPr>
            <w:tcW w:w="7796" w:type="dxa"/>
            <w:tcMar>
              <w:top w:w="15" w:type="dxa"/>
              <w:left w:w="15" w:type="dxa"/>
              <w:bottom w:w="0" w:type="dxa"/>
              <w:right w:w="15" w:type="dxa"/>
            </w:tcMar>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hint="eastAsia"/>
                <w:color w:val="auto"/>
              </w:rPr>
              <w:t>1．学校党委统筹实验室安全工作，把实验室安全工作纳入学校事业发展规划中。学校党政主要负责人是第一责任人；分管实验室安全工作的校领导是重要领导责任人，协助第一责任人负责实验室安全工作；其他校领导在分管工作范围内对实验室安全工作负有支持、监督和指导职责。</w:t>
            </w:r>
          </w:p>
        </w:tc>
        <w:tc>
          <w:tcPr>
            <w:tcW w:w="1843" w:type="dxa"/>
            <w:shd w:val="clear" w:color="auto" w:fill="auto"/>
            <w:tcMar>
              <w:top w:w="15" w:type="dxa"/>
              <w:left w:w="15" w:type="dxa"/>
              <w:bottom w:w="0" w:type="dxa"/>
              <w:right w:w="15" w:type="dxa"/>
            </w:tcMar>
            <w:vAlign w:val="center"/>
            <w:hideMark/>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党委办公室、校长办公室</w:t>
            </w:r>
          </w:p>
        </w:tc>
        <w:tc>
          <w:tcPr>
            <w:tcW w:w="1980" w:type="dxa"/>
            <w:shd w:val="clear" w:color="auto" w:fill="auto"/>
            <w:tcMar>
              <w:top w:w="15" w:type="dxa"/>
              <w:left w:w="15" w:type="dxa"/>
              <w:bottom w:w="0" w:type="dxa"/>
              <w:right w:w="15" w:type="dxa"/>
            </w:tcMar>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p>
        </w:tc>
      </w:tr>
      <w:tr w:rsidR="001A3FFF" w:rsidRPr="003F326D" w:rsidTr="00ED3ACA">
        <w:trPr>
          <w:trHeight w:val="357"/>
          <w:jc w:val="center"/>
        </w:trPr>
        <w:tc>
          <w:tcPr>
            <w:tcW w:w="1402" w:type="dxa"/>
            <w:vMerge/>
            <w:shd w:val="clear" w:color="auto" w:fill="auto"/>
            <w:vAlign w:val="center"/>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hint="eastAsia"/>
                <w:color w:val="auto"/>
              </w:rPr>
              <w:t>2．完善东华大学实验室安全管理领导小组和工作小组工作职责，建立健全学校、二级单位、实验室、师生四级联动的实验室安全管理责任体系，组织制定实验室安全工作计划并监督实施。</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c>
          <w:tcPr>
            <w:tcW w:w="1980" w:type="dxa"/>
            <w:shd w:val="clear" w:color="auto" w:fill="auto"/>
            <w:tcMar>
              <w:top w:w="15" w:type="dxa"/>
              <w:left w:w="15" w:type="dxa"/>
              <w:bottom w:w="0" w:type="dxa"/>
              <w:right w:w="15" w:type="dxa"/>
            </w:tcMar>
            <w:vAlign w:val="center"/>
          </w:tcPr>
          <w:p w:rsidR="001A3FFF" w:rsidRPr="00934114" w:rsidRDefault="001A3FFF" w:rsidP="001A3FFF">
            <w:pPr>
              <w:pStyle w:val="Default"/>
              <w:snapToGrid w:val="0"/>
              <w:spacing w:line="360" w:lineRule="auto"/>
              <w:jc w:val="center"/>
              <w:rPr>
                <w:rFonts w:ascii="仿宋_GB2312" w:eastAsia="仿宋_GB2312" w:hAnsi="Times New Roman" w:cs="仿宋_GB2312"/>
                <w:color w:val="auto"/>
              </w:rPr>
            </w:pPr>
            <w:r w:rsidRPr="00934114">
              <w:rPr>
                <w:rFonts w:ascii="仿宋_GB2312" w:eastAsia="仿宋_GB2312" w:hAnsi="Times New Roman" w:cs="仿宋_GB2312" w:hint="eastAsia"/>
                <w:color w:val="auto"/>
              </w:rPr>
              <w:t>校</w:t>
            </w:r>
            <w:r w:rsidRPr="00934114">
              <w:rPr>
                <w:rFonts w:ascii="仿宋_GB2312" w:eastAsia="仿宋_GB2312" w:hAnsi="Times New Roman" w:cs="仿宋_GB2312"/>
                <w:color w:val="auto"/>
              </w:rPr>
              <w:t>实验室安全</w:t>
            </w:r>
            <w:r w:rsidRPr="00934114">
              <w:rPr>
                <w:rFonts w:ascii="仿宋_GB2312" w:eastAsia="仿宋_GB2312" w:hAnsi="Times New Roman" w:cs="仿宋_GB2312" w:hint="eastAsia"/>
                <w:color w:val="auto"/>
              </w:rPr>
              <w:t>工作</w:t>
            </w:r>
            <w:r w:rsidRPr="00934114">
              <w:rPr>
                <w:rFonts w:ascii="仿宋_GB2312" w:eastAsia="仿宋_GB2312" w:hAnsi="Times New Roman" w:cs="仿宋_GB2312"/>
                <w:color w:val="auto"/>
              </w:rPr>
              <w:t>小组成员单位</w:t>
            </w:r>
          </w:p>
        </w:tc>
      </w:tr>
      <w:tr w:rsidR="001A3FFF" w:rsidRPr="003F326D" w:rsidTr="00ED3ACA">
        <w:trPr>
          <w:trHeight w:val="949"/>
          <w:jc w:val="center"/>
        </w:trPr>
        <w:tc>
          <w:tcPr>
            <w:tcW w:w="1402" w:type="dxa"/>
            <w:vMerge w:val="restart"/>
            <w:shd w:val="clear" w:color="auto" w:fill="auto"/>
            <w:vAlign w:val="center"/>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r w:rsidRPr="006F7825">
              <w:rPr>
                <w:rFonts w:ascii="仿宋_GB2312" w:eastAsia="仿宋_GB2312" w:hAnsi="Times New Roman" w:cs="仿宋_GB2312" w:hint="eastAsia"/>
                <w:b/>
                <w:bCs/>
                <w:color w:val="auto"/>
              </w:rPr>
              <w:t>二、提升实验室安全管理能力</w:t>
            </w: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3</w:t>
            </w:r>
            <w:r w:rsidRPr="00934114">
              <w:rPr>
                <w:rFonts w:ascii="仿宋_GB2312" w:eastAsia="仿宋_GB2312" w:hAnsi="Times New Roman" w:cs="仿宋_GB2312" w:hint="eastAsia"/>
                <w:color w:val="auto"/>
              </w:rPr>
              <w:t>．校级须指定专人负责实验室日常安全管理工作，化学类和生物类安全管理人员须专职专岗且具有化学学科和生物学科专业背景。</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人事处</w:t>
            </w:r>
          </w:p>
        </w:tc>
        <w:tc>
          <w:tcPr>
            <w:tcW w:w="1980" w:type="dxa"/>
            <w:shd w:val="clear" w:color="auto" w:fill="auto"/>
            <w:tcMar>
              <w:top w:w="15" w:type="dxa"/>
              <w:left w:w="15" w:type="dxa"/>
              <w:bottom w:w="0" w:type="dxa"/>
              <w:right w:w="15" w:type="dxa"/>
            </w:tcMar>
            <w:vAlign w:val="center"/>
          </w:tcPr>
          <w:p w:rsidR="001A3FFF" w:rsidRPr="00934114" w:rsidRDefault="001A3FFF" w:rsidP="001A3FFF">
            <w:pPr>
              <w:pStyle w:val="Default"/>
              <w:snapToGrid w:val="0"/>
              <w:spacing w:line="360" w:lineRule="auto"/>
              <w:jc w:val="center"/>
              <w:rPr>
                <w:rFonts w:ascii="仿宋_GB2312" w:eastAsia="仿宋_GB2312" w:hAnsi="Times New Roman" w:cs="仿宋_GB2312"/>
                <w:color w:val="auto"/>
              </w:rPr>
            </w:pPr>
            <w:r w:rsidRPr="00934114">
              <w:rPr>
                <w:rFonts w:ascii="仿宋_GB2312" w:eastAsia="仿宋_GB2312" w:hAnsi="Times New Roman" w:cs="仿宋_GB2312" w:hint="eastAsia"/>
                <w:color w:val="auto"/>
              </w:rPr>
              <w:t>机构编制办公室</w:t>
            </w:r>
          </w:p>
        </w:tc>
      </w:tr>
      <w:tr w:rsidR="001A3FFF" w:rsidRPr="003F326D" w:rsidTr="00ED3ACA">
        <w:trPr>
          <w:trHeight w:val="682"/>
          <w:jc w:val="center"/>
        </w:trPr>
        <w:tc>
          <w:tcPr>
            <w:tcW w:w="1402" w:type="dxa"/>
            <w:vMerge/>
            <w:shd w:val="clear" w:color="auto" w:fill="auto"/>
            <w:vAlign w:val="center"/>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4</w:t>
            </w:r>
            <w:r w:rsidRPr="00934114">
              <w:rPr>
                <w:rFonts w:ascii="仿宋_GB2312" w:eastAsia="仿宋_GB2312" w:hAnsi="Times New Roman" w:cs="仿宋_GB2312" w:hint="eastAsia"/>
                <w:color w:val="auto"/>
              </w:rPr>
              <w:t>.各二级单位应当指定专职或者兼职实验室安全管理人员，</w:t>
            </w:r>
            <w:r w:rsidRPr="00934114">
              <w:rPr>
                <w:rFonts w:ascii="仿宋_GB2312" w:eastAsia="仿宋_GB2312" w:hAnsi="Times New Roman" w:cs="仿宋_GB2312"/>
                <w:color w:val="auto"/>
              </w:rPr>
              <w:t>其中</w:t>
            </w:r>
            <w:r w:rsidRPr="00934114">
              <w:rPr>
                <w:rFonts w:ascii="仿宋_GB2312" w:eastAsia="仿宋_GB2312" w:hAnsi="Times New Roman" w:cs="仿宋_GB2312" w:hint="eastAsia"/>
                <w:color w:val="auto"/>
              </w:rPr>
              <w:t>化学类和生物类等安全风险较大的单位须指定专职安全管理人员。实验室安全管理人员应具备实验室安全管理或相应的专业知识和管理能力，鼓励获取注册</w:t>
            </w:r>
            <w:r w:rsidRPr="00934114">
              <w:rPr>
                <w:rFonts w:ascii="仿宋_GB2312" w:eastAsia="仿宋_GB2312" w:hAnsi="Times New Roman" w:cs="仿宋_GB2312" w:hint="eastAsia"/>
                <w:color w:val="auto"/>
              </w:rPr>
              <w:lastRenderedPageBreak/>
              <w:t>安全工程师资质。</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lastRenderedPageBreak/>
              <w:t>人事处</w:t>
            </w:r>
          </w:p>
        </w:tc>
        <w:tc>
          <w:tcPr>
            <w:tcW w:w="1980" w:type="dxa"/>
            <w:shd w:val="clear" w:color="auto" w:fill="auto"/>
            <w:tcMar>
              <w:top w:w="15" w:type="dxa"/>
              <w:left w:w="15" w:type="dxa"/>
              <w:bottom w:w="0" w:type="dxa"/>
              <w:right w:w="15" w:type="dxa"/>
            </w:tcMar>
            <w:vAlign w:val="center"/>
          </w:tcPr>
          <w:p w:rsidR="001A3FFF" w:rsidRPr="00934114" w:rsidRDefault="001A3FFF" w:rsidP="001A3FFF">
            <w:pPr>
              <w:pStyle w:val="Default"/>
              <w:snapToGrid w:val="0"/>
              <w:spacing w:line="360" w:lineRule="auto"/>
              <w:jc w:val="center"/>
              <w:rPr>
                <w:rFonts w:ascii="仿宋_GB2312" w:eastAsia="仿宋_GB2312" w:hAnsi="Times New Roman" w:cs="仿宋_GB2312"/>
                <w:color w:val="auto"/>
              </w:rPr>
            </w:pPr>
            <w:r w:rsidRPr="00934114">
              <w:rPr>
                <w:rFonts w:ascii="仿宋_GB2312" w:eastAsia="仿宋_GB2312" w:hAnsi="Times New Roman" w:cs="仿宋_GB2312" w:hint="eastAsia"/>
                <w:color w:val="auto"/>
              </w:rPr>
              <w:t>资产管理处</w:t>
            </w:r>
          </w:p>
        </w:tc>
      </w:tr>
      <w:tr w:rsidR="001A3FFF" w:rsidRPr="003F326D" w:rsidTr="00ED3ACA">
        <w:trPr>
          <w:trHeight w:val="682"/>
          <w:jc w:val="center"/>
        </w:trPr>
        <w:tc>
          <w:tcPr>
            <w:tcW w:w="1402" w:type="dxa"/>
            <w:vMerge/>
            <w:shd w:val="clear" w:color="auto" w:fill="auto"/>
            <w:vAlign w:val="center"/>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5</w:t>
            </w:r>
            <w:r w:rsidRPr="00934114">
              <w:rPr>
                <w:rFonts w:ascii="仿宋_GB2312" w:eastAsia="仿宋_GB2312" w:hAnsi="Times New Roman" w:cs="仿宋_GB2312" w:hint="eastAsia"/>
                <w:color w:val="auto"/>
              </w:rPr>
              <w:t>．建立校院两级实验室安全督查</w:t>
            </w:r>
            <w:r w:rsidRPr="00934114">
              <w:rPr>
                <w:rFonts w:ascii="仿宋_GB2312" w:eastAsia="仿宋_GB2312" w:hAnsi="Times New Roman" w:cs="仿宋_GB2312"/>
                <w:color w:val="auto"/>
              </w:rPr>
              <w:t>/协查队伍，可以由教师、实验技术人员、学生组成，也可以利用有相关专业能力的社会力量</w:t>
            </w:r>
            <w:r w:rsidRPr="00934114">
              <w:rPr>
                <w:rFonts w:ascii="仿宋_GB2312" w:eastAsia="仿宋_GB2312" w:hAnsi="Times New Roman" w:cs="仿宋_GB2312" w:hint="eastAsia"/>
                <w:color w:val="auto"/>
              </w:rPr>
              <w:t>。</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人事处</w:t>
            </w:r>
          </w:p>
        </w:tc>
      </w:tr>
      <w:tr w:rsidR="001A3FFF" w:rsidRPr="003F326D" w:rsidTr="00ED3ACA">
        <w:trPr>
          <w:trHeight w:val="682"/>
          <w:jc w:val="center"/>
        </w:trPr>
        <w:tc>
          <w:tcPr>
            <w:tcW w:w="1402" w:type="dxa"/>
            <w:vMerge/>
            <w:shd w:val="clear" w:color="auto" w:fill="auto"/>
            <w:vAlign w:val="center"/>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6</w:t>
            </w:r>
            <w:r w:rsidRPr="00934114">
              <w:rPr>
                <w:rFonts w:ascii="仿宋_GB2312" w:eastAsia="仿宋_GB2312" w:hAnsi="Times New Roman" w:cs="仿宋_GB2312" w:hint="eastAsia"/>
                <w:color w:val="auto"/>
              </w:rPr>
              <w:t>．实验室安全责任体系的各级管理人员及技术人员，要具备相应的实验室安全管理专业知识和能力，到岗一年内须接受实验室安全培训与考核。</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color w:val="auto"/>
              </w:rPr>
              <w:t>人事处</w:t>
            </w:r>
            <w:r w:rsidRPr="00454D70">
              <w:rPr>
                <w:rFonts w:ascii="仿宋_GB2312" w:eastAsia="仿宋_GB2312" w:hAnsi="Times New Roman" w:cs="仿宋_GB2312" w:hint="eastAsia"/>
                <w:color w:val="auto"/>
              </w:rPr>
              <w:t>、综合治理办公室</w:t>
            </w:r>
          </w:p>
        </w:tc>
      </w:tr>
      <w:tr w:rsidR="001A3FFF" w:rsidRPr="003F326D" w:rsidTr="00ED3ACA">
        <w:trPr>
          <w:trHeight w:val="682"/>
          <w:jc w:val="center"/>
        </w:trPr>
        <w:tc>
          <w:tcPr>
            <w:tcW w:w="1402" w:type="dxa"/>
            <w:vMerge/>
            <w:shd w:val="clear" w:color="auto" w:fill="auto"/>
            <w:vAlign w:val="center"/>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7</w:t>
            </w:r>
            <w:r w:rsidRPr="00934114">
              <w:rPr>
                <w:rFonts w:ascii="仿宋_GB2312" w:eastAsia="仿宋_GB2312" w:hAnsi="Times New Roman" w:cs="仿宋_GB2312" w:hint="eastAsia"/>
                <w:color w:val="auto"/>
              </w:rPr>
              <w:t>.相关校领导、相关职能部处和二级单位的中层干部，每年参加累计不少于</w:t>
            </w:r>
            <w:r w:rsidRPr="00934114">
              <w:rPr>
                <w:rFonts w:ascii="仿宋_GB2312" w:eastAsia="仿宋_GB2312" w:hAnsi="Times New Roman" w:cs="仿宋_GB2312"/>
                <w:color w:val="auto"/>
              </w:rPr>
              <w:t>4学时的实验室安全管理能力培训和专题研究学习</w:t>
            </w:r>
            <w:r w:rsidRPr="00934114">
              <w:rPr>
                <w:rFonts w:ascii="仿宋_GB2312" w:eastAsia="仿宋_GB2312" w:hAnsi="Times New Roman" w:cs="仿宋_GB2312" w:hint="eastAsia"/>
                <w:color w:val="auto"/>
              </w:rPr>
              <w:t>。</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综合治理办公室</w:t>
            </w:r>
          </w:p>
        </w:tc>
      </w:tr>
      <w:tr w:rsidR="001A3FFF" w:rsidRPr="003F326D" w:rsidTr="00ED3ACA">
        <w:trPr>
          <w:trHeight w:val="682"/>
          <w:jc w:val="center"/>
        </w:trPr>
        <w:tc>
          <w:tcPr>
            <w:tcW w:w="1402" w:type="dxa"/>
            <w:vMerge/>
            <w:shd w:val="clear" w:color="auto" w:fill="auto"/>
            <w:vAlign w:val="center"/>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8</w:t>
            </w:r>
            <w:r w:rsidRPr="00934114">
              <w:rPr>
                <w:rFonts w:ascii="仿宋_GB2312" w:eastAsia="仿宋_GB2312" w:hAnsi="Times New Roman" w:cs="仿宋_GB2312" w:hint="eastAsia"/>
                <w:color w:val="auto"/>
              </w:rPr>
              <w:t>.</w:t>
            </w:r>
            <w:r w:rsidRPr="00934114">
              <w:rPr>
                <w:rFonts w:ascii="仿宋_GB2312" w:eastAsia="仿宋_GB2312" w:hAnsi="Times New Roman" w:cs="仿宋_GB2312"/>
                <w:color w:val="auto"/>
              </w:rPr>
              <w:t>校院两级专职和兼职实验室安全管理人员，每年参加累计不少于8学时的实验室安全管理能力和必备的专业安全知识培训</w:t>
            </w:r>
            <w:r w:rsidRPr="00934114">
              <w:rPr>
                <w:rFonts w:ascii="仿宋_GB2312" w:eastAsia="仿宋_GB2312" w:hAnsi="Times New Roman" w:cs="仿宋_GB2312" w:hint="eastAsia"/>
                <w:color w:val="auto"/>
              </w:rPr>
              <w:t>。</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综合治理办公室</w:t>
            </w:r>
          </w:p>
        </w:tc>
      </w:tr>
      <w:tr w:rsidR="001A3FFF" w:rsidRPr="003F326D" w:rsidTr="00ED3ACA">
        <w:trPr>
          <w:trHeight w:val="682"/>
          <w:jc w:val="center"/>
        </w:trPr>
        <w:tc>
          <w:tcPr>
            <w:tcW w:w="1402" w:type="dxa"/>
            <w:vMerge/>
            <w:shd w:val="clear" w:color="auto" w:fill="auto"/>
            <w:vAlign w:val="center"/>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9</w:t>
            </w:r>
            <w:r w:rsidRPr="00934114">
              <w:rPr>
                <w:rFonts w:ascii="仿宋_GB2312" w:eastAsia="仿宋_GB2312" w:hAnsi="Times New Roman" w:cs="仿宋_GB2312" w:hint="eastAsia"/>
                <w:color w:val="auto"/>
              </w:rPr>
              <w:t>.</w:t>
            </w:r>
            <w:r w:rsidRPr="00934114">
              <w:rPr>
                <w:rFonts w:ascii="仿宋_GB2312" w:eastAsia="仿宋_GB2312" w:hAnsi="Times New Roman" w:cs="仿宋_GB2312"/>
                <w:color w:val="auto"/>
              </w:rPr>
              <w:t>实验室房间安全管理人员、专职技术人员、开展教学科研实验活动的教职工等，每年参加实验室安全管理能力、安全知识与技能、安全操作规范和应急处置能力的培训，</w:t>
            </w:r>
            <w:r w:rsidRPr="00934114">
              <w:rPr>
                <w:rFonts w:ascii="仿宋_GB2312" w:eastAsia="仿宋_GB2312" w:hAnsi="Times New Roman" w:cs="仿宋_GB2312" w:hint="eastAsia"/>
                <w:color w:val="auto"/>
              </w:rPr>
              <w:t>督促和协助</w:t>
            </w:r>
            <w:r w:rsidRPr="00934114">
              <w:rPr>
                <w:rFonts w:ascii="仿宋_GB2312" w:eastAsia="仿宋_GB2312" w:hAnsi="Times New Roman" w:cs="仿宋_GB2312"/>
                <w:color w:val="auto"/>
              </w:rPr>
              <w:t>二级单位根</w:t>
            </w:r>
            <w:r w:rsidRPr="00934114">
              <w:rPr>
                <w:rFonts w:ascii="仿宋_GB2312" w:eastAsia="仿宋_GB2312" w:hAnsi="Times New Roman" w:cs="仿宋_GB2312" w:hint="eastAsia"/>
                <w:color w:val="auto"/>
              </w:rPr>
              <w:t>据学科特点与涉及危险源类别等实际情况规定</w:t>
            </w:r>
            <w:r w:rsidRPr="00934114">
              <w:rPr>
                <w:rFonts w:ascii="仿宋_GB2312" w:eastAsia="仿宋_GB2312" w:hAnsi="Times New Roman" w:cs="仿宋_GB2312"/>
                <w:color w:val="auto"/>
              </w:rPr>
              <w:t>学时数要求</w:t>
            </w:r>
            <w:r w:rsidRPr="00934114">
              <w:rPr>
                <w:rFonts w:ascii="仿宋_GB2312" w:eastAsia="仿宋_GB2312" w:hAnsi="Times New Roman" w:cs="仿宋_GB2312" w:hint="eastAsia"/>
                <w:color w:val="auto"/>
              </w:rPr>
              <w:t>并实施。</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综合治理办公室</w:t>
            </w:r>
          </w:p>
        </w:tc>
      </w:tr>
      <w:tr w:rsidR="001A3FFF" w:rsidRPr="003F326D" w:rsidTr="00ED3ACA">
        <w:trPr>
          <w:trHeight w:val="57"/>
          <w:jc w:val="center"/>
        </w:trPr>
        <w:tc>
          <w:tcPr>
            <w:tcW w:w="1402" w:type="dxa"/>
            <w:vMerge w:val="restart"/>
            <w:shd w:val="clear" w:color="auto" w:fill="auto"/>
            <w:tcMar>
              <w:top w:w="15" w:type="dxa"/>
              <w:left w:w="15" w:type="dxa"/>
              <w:bottom w:w="0" w:type="dxa"/>
              <w:right w:w="15" w:type="dxa"/>
            </w:tcMar>
            <w:vAlign w:val="center"/>
            <w:hideMark/>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r w:rsidRPr="006F7825">
              <w:rPr>
                <w:rFonts w:ascii="仿宋_GB2312" w:eastAsia="仿宋_GB2312" w:hAnsi="Times New Roman" w:cs="仿宋_GB2312" w:hint="eastAsia"/>
                <w:b/>
                <w:bCs/>
                <w:color w:val="auto"/>
              </w:rPr>
              <w:t>三、完善实验室分级分类</w:t>
            </w:r>
            <w:r w:rsidRPr="006F7825">
              <w:rPr>
                <w:rFonts w:ascii="仿宋_GB2312" w:eastAsia="仿宋_GB2312" w:hAnsi="Times New Roman" w:cs="仿宋_GB2312" w:hint="eastAsia"/>
                <w:b/>
                <w:bCs/>
                <w:color w:val="auto"/>
              </w:rPr>
              <w:lastRenderedPageBreak/>
              <w:t>管理体系</w:t>
            </w:r>
          </w:p>
        </w:tc>
        <w:tc>
          <w:tcPr>
            <w:tcW w:w="7796" w:type="dxa"/>
            <w:tcMar>
              <w:top w:w="15" w:type="dxa"/>
              <w:left w:w="15" w:type="dxa"/>
              <w:bottom w:w="0" w:type="dxa"/>
              <w:right w:w="15" w:type="dxa"/>
            </w:tcMar>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lastRenderedPageBreak/>
              <w:t>10</w:t>
            </w:r>
            <w:r w:rsidRPr="00934114">
              <w:rPr>
                <w:rFonts w:ascii="仿宋_GB2312" w:eastAsia="仿宋_GB2312" w:hAnsi="Times New Roman" w:cs="仿宋_GB2312" w:hint="eastAsia"/>
                <w:color w:val="auto"/>
              </w:rPr>
              <w:t>．根据实验室涉及危险源类别与数量等，建立完善适合实际的实验室分级分类标准。督促和协助二级单位，对实验室进行分级分类管理，建立实</w:t>
            </w:r>
            <w:r w:rsidRPr="00934114">
              <w:rPr>
                <w:rFonts w:ascii="仿宋_GB2312" w:eastAsia="仿宋_GB2312" w:hAnsi="Times New Roman" w:cs="仿宋_GB2312" w:hint="eastAsia"/>
                <w:color w:val="auto"/>
              </w:rPr>
              <w:lastRenderedPageBreak/>
              <w:t>验室动态台账和危险源清单，摸清底数，对不同风险等级的实验室，采取相应管理措施，对重大危险源实施实时监控，并制定危险源分级分类处置方案，严格全过程、全周期、可追溯管理</w:t>
            </w:r>
            <w:r w:rsidRPr="00934114">
              <w:rPr>
                <w:rFonts w:ascii="仿宋_GB2312" w:eastAsia="仿宋_GB2312" w:hAnsi="Times New Roman" w:cs="仿宋_GB2312"/>
                <w:color w:val="auto"/>
              </w:rPr>
              <w:t>。</w:t>
            </w:r>
          </w:p>
        </w:tc>
        <w:tc>
          <w:tcPr>
            <w:tcW w:w="1843" w:type="dxa"/>
            <w:shd w:val="clear" w:color="auto" w:fill="auto"/>
            <w:tcMar>
              <w:top w:w="15" w:type="dxa"/>
              <w:left w:w="15" w:type="dxa"/>
              <w:bottom w:w="0" w:type="dxa"/>
              <w:right w:w="15" w:type="dxa"/>
            </w:tcMar>
            <w:vAlign w:val="center"/>
            <w:hideMark/>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lastRenderedPageBreak/>
              <w:t>资产管理处</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保卫处、</w:t>
            </w:r>
            <w:r w:rsidRPr="00454D70">
              <w:rPr>
                <w:rFonts w:ascii="仿宋_GB2312" w:eastAsia="仿宋_GB2312" w:hAnsi="Times New Roman" w:cs="仿宋_GB2312"/>
                <w:color w:val="auto"/>
              </w:rPr>
              <w:t>后勤服务中心</w:t>
            </w:r>
          </w:p>
        </w:tc>
      </w:tr>
      <w:tr w:rsidR="001A3FFF" w:rsidRPr="003F326D" w:rsidTr="00ED3ACA">
        <w:trPr>
          <w:trHeight w:val="261"/>
          <w:jc w:val="center"/>
        </w:trPr>
        <w:tc>
          <w:tcPr>
            <w:tcW w:w="1402" w:type="dxa"/>
            <w:vMerge/>
            <w:shd w:val="clear" w:color="auto" w:fill="auto"/>
            <w:vAlign w:val="center"/>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hint="eastAsia"/>
                <w:color w:val="auto"/>
              </w:rPr>
              <w:t>1</w:t>
            </w:r>
            <w:r w:rsidRPr="00934114">
              <w:rPr>
                <w:rFonts w:ascii="仿宋_GB2312" w:eastAsia="仿宋_GB2312" w:hAnsi="Times New Roman" w:cs="仿宋_GB2312"/>
                <w:color w:val="auto"/>
              </w:rPr>
              <w:t>1</w:t>
            </w:r>
            <w:r w:rsidRPr="00934114">
              <w:rPr>
                <w:rFonts w:ascii="仿宋_GB2312" w:eastAsia="仿宋_GB2312" w:hAnsi="Times New Roman" w:cs="仿宋_GB2312" w:hint="eastAsia"/>
                <w:color w:val="auto"/>
              </w:rPr>
              <w:t>. 充分利用信息化技术，建立重大危险源安全风险分布档案和数据库。</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信息化</w:t>
            </w:r>
            <w:r w:rsidRPr="00454D70">
              <w:rPr>
                <w:rFonts w:ascii="仿宋_GB2312" w:eastAsia="仿宋_GB2312" w:hAnsi="Times New Roman" w:cs="仿宋_GB2312"/>
                <w:color w:val="auto"/>
              </w:rPr>
              <w:t>办公室</w:t>
            </w:r>
          </w:p>
        </w:tc>
      </w:tr>
      <w:tr w:rsidR="001A3FFF" w:rsidRPr="003F326D" w:rsidTr="00ED3ACA">
        <w:trPr>
          <w:trHeight w:val="807"/>
          <w:jc w:val="center"/>
        </w:trPr>
        <w:tc>
          <w:tcPr>
            <w:tcW w:w="1402" w:type="dxa"/>
            <w:vMerge/>
            <w:shd w:val="clear" w:color="auto" w:fill="auto"/>
            <w:vAlign w:val="center"/>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hint="eastAsia"/>
                <w:color w:val="auto"/>
              </w:rPr>
              <w:t>12.制定实验室安全隐患定量分级标准。督促和协助二级单位对安全隐患实施分级分类管理，全面辨识、评估，确定事故隐患和职业危害监控点。</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保卫处、</w:t>
            </w:r>
            <w:r w:rsidRPr="00454D70">
              <w:rPr>
                <w:rFonts w:ascii="仿宋_GB2312" w:eastAsia="仿宋_GB2312" w:hAnsi="Times New Roman" w:cs="仿宋_GB2312"/>
                <w:color w:val="auto"/>
              </w:rPr>
              <w:t>后勤服务中心</w:t>
            </w:r>
          </w:p>
        </w:tc>
      </w:tr>
      <w:tr w:rsidR="001A3FFF" w:rsidRPr="003F326D" w:rsidTr="00ED3ACA">
        <w:trPr>
          <w:trHeight w:val="240"/>
          <w:jc w:val="center"/>
        </w:trPr>
        <w:tc>
          <w:tcPr>
            <w:tcW w:w="1402" w:type="dxa"/>
            <w:vMerge w:val="restart"/>
            <w:shd w:val="clear" w:color="auto" w:fill="auto"/>
            <w:tcMar>
              <w:top w:w="15" w:type="dxa"/>
              <w:left w:w="15" w:type="dxa"/>
              <w:bottom w:w="0" w:type="dxa"/>
              <w:right w:w="15" w:type="dxa"/>
            </w:tcMar>
            <w:vAlign w:val="center"/>
            <w:hideMark/>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r w:rsidRPr="006F7825">
              <w:rPr>
                <w:rFonts w:ascii="仿宋_GB2312" w:eastAsia="仿宋_GB2312" w:hAnsi="Times New Roman" w:cs="仿宋_GB2312" w:hint="eastAsia"/>
                <w:b/>
                <w:bCs/>
                <w:color w:val="auto"/>
              </w:rPr>
              <w:t>四、建立健全项目风险评估与管控</w:t>
            </w:r>
          </w:p>
        </w:tc>
        <w:tc>
          <w:tcPr>
            <w:tcW w:w="7796" w:type="dxa"/>
            <w:tcMar>
              <w:top w:w="15" w:type="dxa"/>
              <w:left w:w="15" w:type="dxa"/>
              <w:bottom w:w="0" w:type="dxa"/>
              <w:right w:w="15" w:type="dxa"/>
            </w:tcMar>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13</w:t>
            </w:r>
            <w:r w:rsidRPr="00934114">
              <w:rPr>
                <w:rFonts w:ascii="仿宋_GB2312" w:eastAsia="仿宋_GB2312" w:hAnsi="Times New Roman" w:cs="仿宋_GB2312" w:hint="eastAsia"/>
                <w:color w:val="auto"/>
              </w:rPr>
              <w:t>．制定科研、教学项目风险评估相关管理规定，其中凡涉及有毒有害化学品（剧毒、易制爆、易制毒、爆炸品等）、危险气体（易燃、易爆、有毒、窒息）、病原微生物及携带致病源体的实验动物、危险生物因子、辐射源及射线装置、同位素及核材料、危险性机械加工装置、强电强磁与激光设备、特种设备等各种危险源的科研、教学项目，必须经过风险评估后方可进行实验活动。</w:t>
            </w:r>
          </w:p>
        </w:tc>
        <w:tc>
          <w:tcPr>
            <w:tcW w:w="1843" w:type="dxa"/>
            <w:shd w:val="clear" w:color="auto" w:fill="auto"/>
            <w:tcMar>
              <w:top w:w="15" w:type="dxa"/>
              <w:left w:w="15" w:type="dxa"/>
              <w:bottom w:w="0" w:type="dxa"/>
              <w:right w:w="15" w:type="dxa"/>
            </w:tcMar>
            <w:vAlign w:val="center"/>
            <w:hideMark/>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研究生院、教务处、科学技术研究院</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r>
      <w:tr w:rsidR="001A3FFF" w:rsidRPr="003F326D" w:rsidTr="00ED3ACA">
        <w:trPr>
          <w:trHeight w:val="485"/>
          <w:jc w:val="center"/>
        </w:trPr>
        <w:tc>
          <w:tcPr>
            <w:tcW w:w="1402" w:type="dxa"/>
            <w:vMerge/>
            <w:shd w:val="clear" w:color="auto" w:fill="auto"/>
            <w:vAlign w:val="center"/>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14</w:t>
            </w:r>
            <w:r w:rsidRPr="00934114">
              <w:rPr>
                <w:rFonts w:ascii="仿宋_GB2312" w:eastAsia="仿宋_GB2312" w:hAnsi="Times New Roman" w:cs="仿宋_GB2312" w:hint="eastAsia"/>
                <w:color w:val="auto"/>
              </w:rPr>
              <w:t>．督促和协助二级单位对科研、教学项目风险评估工作的审核与备案；项目负责人对项目进行危险源甄别，如存在风险要主动上报并制定防范措施及应急预案。科研、教学</w:t>
            </w:r>
            <w:r w:rsidRPr="00934114">
              <w:rPr>
                <w:rFonts w:ascii="仿宋_GB2312" w:eastAsia="仿宋_GB2312" w:hAnsi="Times New Roman" w:cs="仿宋_GB2312"/>
                <w:color w:val="auto"/>
              </w:rPr>
              <w:t>项</w:t>
            </w:r>
            <w:r w:rsidRPr="00934114">
              <w:rPr>
                <w:rFonts w:ascii="仿宋_GB2312" w:eastAsia="仿宋_GB2312" w:hAnsi="Times New Roman" w:cs="仿宋_GB2312" w:hint="eastAsia"/>
                <w:color w:val="auto"/>
              </w:rPr>
              <w:t>目风险评估工作，可探索依托第三方力量。</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研究生院、教务处、科学技术研究院</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r>
      <w:tr w:rsidR="001A3FFF" w:rsidRPr="003F326D" w:rsidTr="00ED3ACA">
        <w:trPr>
          <w:trHeight w:val="485"/>
          <w:jc w:val="center"/>
        </w:trPr>
        <w:tc>
          <w:tcPr>
            <w:tcW w:w="1402" w:type="dxa"/>
            <w:vMerge/>
            <w:shd w:val="clear" w:color="auto" w:fill="auto"/>
            <w:vAlign w:val="center"/>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15</w:t>
            </w:r>
            <w:r w:rsidRPr="00934114">
              <w:rPr>
                <w:rFonts w:ascii="仿宋_GB2312" w:eastAsia="仿宋_GB2312" w:hAnsi="Times New Roman" w:cs="仿宋_GB2312" w:hint="eastAsia"/>
                <w:color w:val="auto"/>
              </w:rPr>
              <w:t>．</w:t>
            </w:r>
            <w:r w:rsidRPr="00934114">
              <w:rPr>
                <w:rFonts w:ascii="仿宋_GB2312" w:eastAsia="仿宋_GB2312" w:hAnsi="Times New Roman" w:cs="仿宋_GB2312"/>
                <w:color w:val="auto"/>
              </w:rPr>
              <w:t>对在风险评估中发现的问题或项目内容发生重大变化时，</w:t>
            </w:r>
            <w:r w:rsidRPr="00934114">
              <w:rPr>
                <w:rFonts w:ascii="仿宋_GB2312" w:eastAsia="仿宋_GB2312" w:hAnsi="Times New Roman" w:cs="仿宋_GB2312" w:hint="eastAsia"/>
                <w:color w:val="auto"/>
              </w:rPr>
              <w:t>督促和协助</w:t>
            </w:r>
            <w:r w:rsidRPr="00934114">
              <w:rPr>
                <w:rFonts w:ascii="仿宋_GB2312" w:eastAsia="仿宋_GB2312" w:hAnsi="Times New Roman" w:cs="仿宋_GB2312"/>
                <w:color w:val="auto"/>
              </w:rPr>
              <w:lastRenderedPageBreak/>
              <w:t>二级单位进行审核和备案，做好变更管理</w:t>
            </w:r>
            <w:r w:rsidRPr="00934114">
              <w:rPr>
                <w:rFonts w:ascii="仿宋_GB2312" w:eastAsia="仿宋_GB2312" w:hAnsi="Times New Roman" w:cs="仿宋_GB2312" w:hint="eastAsia"/>
                <w:color w:val="auto"/>
              </w:rPr>
              <w:t>；</w:t>
            </w:r>
            <w:r w:rsidRPr="00934114">
              <w:rPr>
                <w:rFonts w:ascii="仿宋_GB2312" w:eastAsia="仿宋_GB2312" w:hAnsi="Times New Roman" w:cs="仿宋_GB2312"/>
                <w:color w:val="auto"/>
              </w:rPr>
              <w:t>项目负责人要及时更新和上报。</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lastRenderedPageBreak/>
              <w:t>研究生院、教务</w:t>
            </w:r>
            <w:r w:rsidRPr="00454D70">
              <w:rPr>
                <w:rFonts w:ascii="仿宋_GB2312" w:eastAsia="仿宋_GB2312" w:hAnsi="Times New Roman" w:cs="仿宋_GB2312" w:hint="eastAsia"/>
                <w:color w:val="auto"/>
              </w:rPr>
              <w:lastRenderedPageBreak/>
              <w:t>处、科学技术研究院</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lastRenderedPageBreak/>
              <w:t>资产管理处</w:t>
            </w:r>
          </w:p>
        </w:tc>
      </w:tr>
      <w:tr w:rsidR="001A3FFF" w:rsidRPr="003F326D" w:rsidTr="00ED3ACA">
        <w:trPr>
          <w:trHeight w:val="240"/>
          <w:jc w:val="center"/>
        </w:trPr>
        <w:tc>
          <w:tcPr>
            <w:tcW w:w="1402" w:type="dxa"/>
            <w:vMerge w:val="restart"/>
            <w:shd w:val="clear" w:color="auto" w:fill="auto"/>
            <w:tcMar>
              <w:top w:w="15" w:type="dxa"/>
              <w:left w:w="15" w:type="dxa"/>
              <w:bottom w:w="0" w:type="dxa"/>
              <w:right w:w="15" w:type="dxa"/>
            </w:tcMar>
            <w:vAlign w:val="center"/>
            <w:hideMark/>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r w:rsidRPr="006F7825">
              <w:rPr>
                <w:rFonts w:ascii="仿宋_GB2312" w:eastAsia="仿宋_GB2312" w:hAnsi="Times New Roman" w:cs="仿宋_GB2312" w:hint="eastAsia"/>
                <w:b/>
                <w:bCs/>
                <w:color w:val="auto"/>
              </w:rPr>
              <w:t>五、强化实验室安全教育体系建设</w:t>
            </w:r>
          </w:p>
        </w:tc>
        <w:tc>
          <w:tcPr>
            <w:tcW w:w="7796" w:type="dxa"/>
            <w:tcMar>
              <w:top w:w="15" w:type="dxa"/>
              <w:left w:w="15" w:type="dxa"/>
              <w:bottom w:w="0" w:type="dxa"/>
              <w:right w:w="15" w:type="dxa"/>
            </w:tcMar>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16</w:t>
            </w:r>
            <w:r w:rsidRPr="00934114">
              <w:rPr>
                <w:rFonts w:ascii="仿宋_GB2312" w:eastAsia="仿宋_GB2312" w:hAnsi="Times New Roman" w:cs="仿宋_GB2312" w:hint="eastAsia"/>
                <w:color w:val="auto"/>
              </w:rPr>
              <w:t>．把实验室安全教育纳入学生的培养环节中，建立健全涵盖实验室安全教育基础课程、专业课程和专项课程的课程体系，明确涉及实验风险的各级各类学生的培养要求。本科生基础课程应累计不少于</w:t>
            </w:r>
            <w:r w:rsidRPr="00934114">
              <w:rPr>
                <w:rFonts w:ascii="仿宋_GB2312" w:eastAsia="仿宋_GB2312" w:hAnsi="Times New Roman" w:cs="仿宋_GB2312"/>
                <w:color w:val="auto"/>
              </w:rPr>
              <w:t>16 课时，研究生基础课</w:t>
            </w:r>
            <w:r w:rsidRPr="00934114">
              <w:rPr>
                <w:rFonts w:ascii="仿宋_GB2312" w:eastAsia="仿宋_GB2312" w:hAnsi="Times New Roman" w:cs="仿宋_GB2312" w:hint="eastAsia"/>
                <w:color w:val="auto"/>
              </w:rPr>
              <w:t>程根据学生前期基础、专业和培养方向，应安排累计不少于</w:t>
            </w:r>
            <w:r w:rsidRPr="00934114">
              <w:rPr>
                <w:rFonts w:ascii="仿宋_GB2312" w:eastAsia="仿宋_GB2312" w:hAnsi="Times New Roman" w:cs="仿宋_GB2312"/>
                <w:color w:val="auto"/>
              </w:rPr>
              <w:t>16 课时</w:t>
            </w:r>
            <w:r w:rsidRPr="00934114">
              <w:rPr>
                <w:rFonts w:ascii="仿宋_GB2312" w:eastAsia="仿宋_GB2312" w:hAnsi="Times New Roman" w:cs="仿宋_GB2312" w:hint="eastAsia"/>
                <w:color w:val="auto"/>
              </w:rPr>
              <w:t>或“</w:t>
            </w:r>
            <w:r w:rsidRPr="00934114">
              <w:rPr>
                <w:rFonts w:ascii="仿宋_GB2312" w:eastAsia="仿宋_GB2312" w:hAnsi="Times New Roman" w:cs="仿宋_GB2312"/>
                <w:color w:val="auto"/>
              </w:rPr>
              <w:t>16+16</w:t>
            </w:r>
            <w:r w:rsidRPr="00934114">
              <w:rPr>
                <w:rFonts w:ascii="仿宋_GB2312" w:eastAsia="仿宋_GB2312" w:hAnsi="Times New Roman" w:cs="仿宋_GB2312"/>
                <w:color w:val="auto"/>
              </w:rPr>
              <w:t>”</w:t>
            </w:r>
            <w:r w:rsidRPr="00934114">
              <w:rPr>
                <w:rFonts w:ascii="仿宋_GB2312" w:eastAsia="仿宋_GB2312" w:hAnsi="Times New Roman" w:cs="仿宋_GB2312"/>
                <w:color w:val="auto"/>
              </w:rPr>
              <w:t>课时。</w:t>
            </w:r>
          </w:p>
        </w:tc>
        <w:tc>
          <w:tcPr>
            <w:tcW w:w="1843" w:type="dxa"/>
            <w:shd w:val="clear" w:color="auto" w:fill="auto"/>
            <w:tcMar>
              <w:top w:w="15" w:type="dxa"/>
              <w:left w:w="15" w:type="dxa"/>
              <w:bottom w:w="0" w:type="dxa"/>
              <w:right w:w="15" w:type="dxa"/>
            </w:tcMar>
            <w:vAlign w:val="center"/>
            <w:hideMark/>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研究生院、教务处、国际文化交流学院</w:t>
            </w:r>
          </w:p>
        </w:tc>
        <w:tc>
          <w:tcPr>
            <w:tcW w:w="1980" w:type="dxa"/>
            <w:shd w:val="clear" w:color="auto" w:fill="auto"/>
            <w:tcMar>
              <w:top w:w="15" w:type="dxa"/>
              <w:left w:w="15" w:type="dxa"/>
              <w:bottom w:w="0" w:type="dxa"/>
              <w:right w:w="15" w:type="dxa"/>
            </w:tcMar>
            <w:vAlign w:val="center"/>
            <w:hideMark/>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r>
      <w:tr w:rsidR="001A3FFF" w:rsidRPr="003F326D" w:rsidTr="00ED3ACA">
        <w:trPr>
          <w:trHeight w:val="218"/>
          <w:jc w:val="center"/>
        </w:trPr>
        <w:tc>
          <w:tcPr>
            <w:tcW w:w="1402" w:type="dxa"/>
            <w:vMerge/>
            <w:shd w:val="clear" w:color="auto" w:fill="auto"/>
            <w:vAlign w:val="center"/>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1</w:t>
            </w:r>
            <w:r w:rsidRPr="00934114">
              <w:rPr>
                <w:rFonts w:ascii="仿宋_GB2312" w:eastAsia="仿宋_GB2312" w:hAnsi="Times New Roman" w:cs="仿宋_GB2312" w:hint="eastAsia"/>
                <w:color w:val="auto"/>
              </w:rPr>
              <w:t>7．构建课程与实验室安全准入联动机制。进入实验室的师生必须先进行实验室安全知识、安全技能和操作规范培训的必修课课程或培训并进行考核，保证师生具备必要的安全知识和应急能力，知悉自身在安全管理方面的权利和义务。特种设备相关人员应持证上岗。</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研究生院、教务处、国际文化交流学院、</w:t>
            </w:r>
            <w:r w:rsidRPr="00454D70">
              <w:rPr>
                <w:rFonts w:ascii="仿宋_GB2312" w:eastAsia="仿宋_GB2312" w:hAnsi="Times New Roman" w:cs="仿宋_GB2312"/>
                <w:color w:val="auto"/>
              </w:rPr>
              <w:t>学生处、人事处</w:t>
            </w:r>
          </w:p>
        </w:tc>
      </w:tr>
      <w:tr w:rsidR="001A3FFF" w:rsidRPr="003F326D" w:rsidTr="00ED3ACA">
        <w:trPr>
          <w:trHeight w:val="218"/>
          <w:jc w:val="center"/>
        </w:trPr>
        <w:tc>
          <w:tcPr>
            <w:tcW w:w="1402" w:type="dxa"/>
            <w:vMerge/>
            <w:shd w:val="clear" w:color="auto" w:fill="auto"/>
            <w:vAlign w:val="center"/>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hint="eastAsia"/>
                <w:color w:val="auto"/>
              </w:rPr>
              <w:t>18．研究生导师要将实验室安全教育列入指导内容，让安全教育入心入脑。</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研究生院</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p>
        </w:tc>
      </w:tr>
      <w:tr w:rsidR="001A3FFF" w:rsidRPr="003F326D" w:rsidTr="00ED3ACA">
        <w:trPr>
          <w:trHeight w:val="240"/>
          <w:jc w:val="center"/>
        </w:trPr>
        <w:tc>
          <w:tcPr>
            <w:tcW w:w="1402" w:type="dxa"/>
            <w:vMerge w:val="restart"/>
            <w:shd w:val="clear" w:color="auto" w:fill="auto"/>
            <w:tcMar>
              <w:top w:w="15" w:type="dxa"/>
              <w:left w:w="15" w:type="dxa"/>
              <w:bottom w:w="0" w:type="dxa"/>
              <w:right w:w="15" w:type="dxa"/>
            </w:tcMar>
            <w:vAlign w:val="center"/>
            <w:hideMark/>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r w:rsidRPr="006F7825">
              <w:rPr>
                <w:rFonts w:ascii="仿宋_GB2312" w:eastAsia="仿宋_GB2312" w:hAnsi="Times New Roman" w:cs="仿宋_GB2312" w:hint="eastAsia"/>
                <w:b/>
                <w:bCs/>
                <w:color w:val="auto"/>
              </w:rPr>
              <w:t>六、提升实验室安全应急能力</w:t>
            </w:r>
          </w:p>
        </w:tc>
        <w:tc>
          <w:tcPr>
            <w:tcW w:w="7796" w:type="dxa"/>
            <w:tcMar>
              <w:top w:w="15" w:type="dxa"/>
              <w:left w:w="15" w:type="dxa"/>
              <w:bottom w:w="0" w:type="dxa"/>
              <w:right w:w="15" w:type="dxa"/>
            </w:tcMar>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19</w:t>
            </w:r>
            <w:r w:rsidRPr="00934114">
              <w:rPr>
                <w:rFonts w:ascii="仿宋_GB2312" w:eastAsia="仿宋_GB2312" w:hAnsi="Times New Roman" w:cs="仿宋_GB2312" w:hint="eastAsia"/>
                <w:color w:val="auto"/>
              </w:rPr>
              <w:t>.针对实验室可能发生的火灾、爆炸、触电、腐蚀、灼烫、辐射、中毒等事故制定专项应急预案和现场处置方案，各教学科研单位建立“一院（中心）多案”应急预案，各实验室建立“一室一案”应急预案，结合消防安全形成完整的应急体系，并建立应急预案逐级报备制度和应急演练制度。</w:t>
            </w:r>
            <w:r w:rsidRPr="00934114">
              <w:rPr>
                <w:rFonts w:ascii="仿宋_GB2312" w:eastAsia="仿宋_GB2312" w:hAnsi="Times New Roman" w:cs="仿宋_GB2312" w:hint="eastAsia"/>
                <w:color w:val="auto"/>
              </w:rPr>
              <w:lastRenderedPageBreak/>
              <w:t>各级预案或措施要明确应急体系各节点的责任人。</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lastRenderedPageBreak/>
              <w:t>资产管理处</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保卫处、</w:t>
            </w:r>
            <w:r w:rsidRPr="00454D70">
              <w:rPr>
                <w:rFonts w:ascii="仿宋_GB2312" w:eastAsia="仿宋_GB2312" w:hAnsi="Times New Roman" w:cs="仿宋_GB2312"/>
                <w:color w:val="auto"/>
              </w:rPr>
              <w:t>后勤服务中心</w:t>
            </w:r>
          </w:p>
        </w:tc>
      </w:tr>
      <w:tr w:rsidR="001A3FFF" w:rsidRPr="003F326D" w:rsidTr="00ED3ACA">
        <w:trPr>
          <w:trHeight w:val="77"/>
          <w:jc w:val="center"/>
        </w:trPr>
        <w:tc>
          <w:tcPr>
            <w:tcW w:w="1402" w:type="dxa"/>
            <w:vMerge/>
            <w:shd w:val="clear" w:color="auto" w:fill="auto"/>
            <w:vAlign w:val="center"/>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2</w:t>
            </w:r>
            <w:r w:rsidRPr="00934114">
              <w:rPr>
                <w:rFonts w:ascii="仿宋_GB2312" w:eastAsia="仿宋_GB2312" w:hAnsi="Times New Roman" w:cs="仿宋_GB2312" w:hint="eastAsia"/>
                <w:color w:val="auto"/>
              </w:rPr>
              <w:t>0．一旦发生实验室安全事故，要启动应急响应，迅速采取有效措施，组织抢救，防止事故扩大，减少人员伤亡和财产损失，并按照国家有关规定立即如实报告，不得瞒报、谎报或迟报，不得故意破坏事故现场、毁灭有关证据。</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资产管理处、保卫处、</w:t>
            </w:r>
            <w:r w:rsidRPr="00454D70">
              <w:rPr>
                <w:rFonts w:ascii="仿宋_GB2312" w:eastAsia="仿宋_GB2312" w:hAnsi="Times New Roman" w:cs="仿宋_GB2312"/>
                <w:color w:val="auto"/>
              </w:rPr>
              <w:t>后勤服务中心</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p>
        </w:tc>
      </w:tr>
      <w:tr w:rsidR="001A3FFF" w:rsidRPr="003F326D" w:rsidTr="00ED3ACA">
        <w:trPr>
          <w:trHeight w:val="77"/>
          <w:jc w:val="center"/>
        </w:trPr>
        <w:tc>
          <w:tcPr>
            <w:tcW w:w="1402" w:type="dxa"/>
            <w:vMerge/>
            <w:shd w:val="clear" w:color="auto" w:fill="auto"/>
            <w:vAlign w:val="center"/>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2</w:t>
            </w:r>
            <w:r w:rsidRPr="00934114">
              <w:rPr>
                <w:rFonts w:ascii="仿宋_GB2312" w:eastAsia="仿宋_GB2312" w:hAnsi="Times New Roman" w:cs="仿宋_GB2312" w:hint="eastAsia"/>
                <w:color w:val="auto"/>
              </w:rPr>
              <w:t>1．对实验室专职管理人员定期开展实验室安全应急处置知识学习和应急处理培训。</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保卫处</w:t>
            </w:r>
          </w:p>
        </w:tc>
      </w:tr>
      <w:tr w:rsidR="001A3FFF" w:rsidRPr="003F326D" w:rsidTr="00ED3ACA">
        <w:trPr>
          <w:trHeight w:val="77"/>
          <w:jc w:val="center"/>
        </w:trPr>
        <w:tc>
          <w:tcPr>
            <w:tcW w:w="1402" w:type="dxa"/>
            <w:vMerge/>
            <w:shd w:val="clear" w:color="auto" w:fill="auto"/>
            <w:vAlign w:val="center"/>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2</w:t>
            </w:r>
            <w:r w:rsidRPr="00934114">
              <w:rPr>
                <w:rFonts w:ascii="仿宋_GB2312" w:eastAsia="仿宋_GB2312" w:hAnsi="Times New Roman" w:cs="仿宋_GB2312" w:hint="eastAsia"/>
                <w:color w:val="auto"/>
              </w:rPr>
              <w:t>2．督促和协助二级单位和实验室结合实际情况，定期组织开展实验室安全应急预案、应急知识、自救互救和避险逃生技能等教育培训和应急演练，使师生了解应急预案内容，熟悉应急职责、应急处置程序和措施。</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保卫处、</w:t>
            </w:r>
            <w:r w:rsidRPr="00454D70">
              <w:rPr>
                <w:rFonts w:ascii="仿宋_GB2312" w:eastAsia="仿宋_GB2312" w:hAnsi="Times New Roman" w:cs="仿宋_GB2312"/>
                <w:color w:val="auto"/>
              </w:rPr>
              <w:t>后勤服务中心</w:t>
            </w:r>
          </w:p>
        </w:tc>
      </w:tr>
      <w:tr w:rsidR="001A3FFF" w:rsidRPr="003F326D" w:rsidTr="00ED3ACA">
        <w:trPr>
          <w:trHeight w:val="617"/>
          <w:jc w:val="center"/>
        </w:trPr>
        <w:tc>
          <w:tcPr>
            <w:tcW w:w="1402" w:type="dxa"/>
            <w:vMerge w:val="restart"/>
            <w:shd w:val="clear" w:color="auto" w:fill="auto"/>
            <w:tcMar>
              <w:top w:w="15" w:type="dxa"/>
              <w:left w:w="15" w:type="dxa"/>
              <w:bottom w:w="0" w:type="dxa"/>
              <w:right w:w="15" w:type="dxa"/>
            </w:tcMar>
            <w:vAlign w:val="center"/>
            <w:hideMark/>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r w:rsidRPr="006F7825">
              <w:rPr>
                <w:rFonts w:ascii="仿宋_GB2312" w:eastAsia="仿宋_GB2312" w:hAnsi="Times New Roman" w:cs="仿宋_GB2312" w:hint="eastAsia"/>
                <w:b/>
                <w:bCs/>
                <w:color w:val="auto"/>
              </w:rPr>
              <w:t>七、强化实验室安全基础设施建设</w:t>
            </w:r>
          </w:p>
        </w:tc>
        <w:tc>
          <w:tcPr>
            <w:tcW w:w="7796" w:type="dxa"/>
            <w:tcMar>
              <w:top w:w="15" w:type="dxa"/>
              <w:left w:w="15" w:type="dxa"/>
              <w:bottom w:w="0" w:type="dxa"/>
              <w:right w:w="15" w:type="dxa"/>
            </w:tcMar>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2</w:t>
            </w:r>
            <w:r w:rsidRPr="00934114">
              <w:rPr>
                <w:rFonts w:ascii="仿宋_GB2312" w:eastAsia="仿宋_GB2312" w:hAnsi="Times New Roman" w:cs="仿宋_GB2312" w:hint="eastAsia"/>
                <w:color w:val="auto"/>
              </w:rPr>
              <w:t>3．在新建、改建、扩建实验室时，应当把安全风险评估作为建设立项的必要条件，均须符合实验室安全规范要求。</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基建处</w:t>
            </w:r>
          </w:p>
        </w:tc>
        <w:tc>
          <w:tcPr>
            <w:tcW w:w="1980" w:type="dxa"/>
            <w:shd w:val="clear" w:color="auto" w:fill="auto"/>
            <w:tcMar>
              <w:top w:w="15" w:type="dxa"/>
              <w:left w:w="15" w:type="dxa"/>
              <w:bottom w:w="0" w:type="dxa"/>
              <w:right w:w="15" w:type="dxa"/>
            </w:tcMar>
            <w:vAlign w:val="center"/>
            <w:hideMark/>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p>
        </w:tc>
      </w:tr>
      <w:tr w:rsidR="001A3FFF" w:rsidRPr="003F326D" w:rsidTr="00ED3ACA">
        <w:trPr>
          <w:trHeight w:val="240"/>
          <w:jc w:val="center"/>
        </w:trPr>
        <w:tc>
          <w:tcPr>
            <w:tcW w:w="1402" w:type="dxa"/>
            <w:vMerge/>
            <w:shd w:val="clear" w:color="auto" w:fill="auto"/>
            <w:vAlign w:val="center"/>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2</w:t>
            </w:r>
            <w:r w:rsidRPr="00934114">
              <w:rPr>
                <w:rFonts w:ascii="仿宋_GB2312" w:eastAsia="仿宋_GB2312" w:hAnsi="Times New Roman" w:cs="仿宋_GB2312" w:hint="eastAsia"/>
                <w:color w:val="auto"/>
              </w:rPr>
              <w:t>4．建立实验室新建、改建、扩建的项目审批制，对实验室规划、建设、验收和启用，采取前置申请、会签、批准制度</w:t>
            </w:r>
            <w:r w:rsidRPr="00934114">
              <w:rPr>
                <w:rFonts w:ascii="仿宋_GB2312" w:eastAsia="仿宋_GB2312" w:hAnsi="Times New Roman" w:cs="仿宋_GB2312"/>
                <w:color w:val="auto"/>
              </w:rPr>
              <w:t>，</w:t>
            </w:r>
            <w:r w:rsidRPr="00934114">
              <w:rPr>
                <w:rFonts w:ascii="仿宋_GB2312" w:eastAsia="仿宋_GB2312" w:hAnsi="Times New Roman" w:cs="仿宋_GB2312" w:hint="eastAsia"/>
                <w:color w:val="auto"/>
              </w:rPr>
              <w:t>须</w:t>
            </w:r>
            <w:r w:rsidRPr="00934114">
              <w:rPr>
                <w:rFonts w:ascii="仿宋_GB2312" w:eastAsia="仿宋_GB2312" w:hAnsi="Times New Roman" w:cs="仿宋_GB2312"/>
                <w:color w:val="auto"/>
              </w:rPr>
              <w:t>包括</w:t>
            </w:r>
            <w:r w:rsidRPr="00934114">
              <w:rPr>
                <w:rFonts w:ascii="仿宋_GB2312" w:eastAsia="仿宋_GB2312" w:hAnsi="Times New Roman" w:cs="仿宋_GB2312" w:hint="eastAsia"/>
                <w:color w:val="auto"/>
              </w:rPr>
              <w:t>实验室</w:t>
            </w:r>
            <w:r w:rsidRPr="00934114">
              <w:rPr>
                <w:rFonts w:ascii="仿宋_GB2312" w:eastAsia="仿宋_GB2312" w:hAnsi="Times New Roman" w:cs="仿宋_GB2312"/>
                <w:color w:val="auto"/>
              </w:rPr>
              <w:t>安全</w:t>
            </w:r>
            <w:r w:rsidRPr="00934114">
              <w:rPr>
                <w:rFonts w:ascii="仿宋_GB2312" w:eastAsia="仿宋_GB2312" w:hAnsi="Times New Roman" w:cs="仿宋_GB2312" w:hint="eastAsia"/>
                <w:color w:val="auto"/>
              </w:rPr>
              <w:t>事项的</w:t>
            </w:r>
            <w:r w:rsidRPr="00934114">
              <w:rPr>
                <w:rFonts w:ascii="仿宋_GB2312" w:eastAsia="仿宋_GB2312" w:hAnsi="Times New Roman" w:cs="仿宋_GB2312"/>
                <w:color w:val="auto"/>
              </w:rPr>
              <w:t>评估和审核</w:t>
            </w:r>
            <w:r w:rsidRPr="00934114">
              <w:rPr>
                <w:rFonts w:ascii="仿宋_GB2312" w:eastAsia="仿宋_GB2312" w:hAnsi="Times New Roman" w:cs="仿宋_GB2312" w:hint="eastAsia"/>
                <w:color w:val="auto"/>
              </w:rPr>
              <w:t>。对不符合安全标准不适宜开展实验的，应及时按照标准进行工程改造以保障实验室安全。</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资产管理处、保卫处、</w:t>
            </w:r>
            <w:r w:rsidRPr="00454D70">
              <w:rPr>
                <w:rFonts w:ascii="仿宋_GB2312" w:eastAsia="仿宋_GB2312" w:hAnsi="Times New Roman" w:cs="仿宋_GB2312"/>
                <w:color w:val="auto"/>
              </w:rPr>
              <w:t>后勤服务中心</w:t>
            </w:r>
            <w:r w:rsidRPr="00454D70">
              <w:rPr>
                <w:rFonts w:ascii="仿宋_GB2312" w:eastAsia="仿宋_GB2312" w:hAnsi="Times New Roman" w:cs="仿宋_GB2312" w:hint="eastAsia"/>
                <w:color w:val="auto"/>
              </w:rPr>
              <w:t>、基建处、科学技术研究院、教务</w:t>
            </w:r>
            <w:r w:rsidRPr="00454D70">
              <w:rPr>
                <w:rFonts w:ascii="仿宋_GB2312" w:eastAsia="仿宋_GB2312" w:hAnsi="Times New Roman" w:cs="仿宋_GB2312" w:hint="eastAsia"/>
                <w:color w:val="auto"/>
              </w:rPr>
              <w:lastRenderedPageBreak/>
              <w:t>处、研究生院</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p>
        </w:tc>
      </w:tr>
      <w:tr w:rsidR="001A3FFF" w:rsidRPr="003F326D" w:rsidTr="00ED3ACA">
        <w:trPr>
          <w:trHeight w:val="807"/>
          <w:jc w:val="center"/>
        </w:trPr>
        <w:tc>
          <w:tcPr>
            <w:tcW w:w="1402" w:type="dxa"/>
            <w:vMerge/>
            <w:shd w:val="clear" w:color="auto" w:fill="auto"/>
            <w:vAlign w:val="center"/>
          </w:tcPr>
          <w:p w:rsidR="001A3FFF" w:rsidRPr="006F7825" w:rsidRDefault="001A3FFF" w:rsidP="00ED3ACA">
            <w:pPr>
              <w:snapToGrid w:val="0"/>
              <w:spacing w:line="360" w:lineRule="auto"/>
              <w:rPr>
                <w:rFonts w:ascii="黑体" w:eastAsia="黑体" w:hAnsi="黑体"/>
                <w:b/>
                <w:bCs/>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2</w:t>
            </w:r>
            <w:r w:rsidRPr="00934114">
              <w:rPr>
                <w:rFonts w:ascii="仿宋_GB2312" w:eastAsia="仿宋_GB2312" w:hAnsi="Times New Roman" w:cs="仿宋_GB2312" w:hint="eastAsia"/>
                <w:color w:val="auto"/>
              </w:rPr>
              <w:t>5．督促和协助二级单位</w:t>
            </w:r>
            <w:r w:rsidRPr="00934114">
              <w:rPr>
                <w:rFonts w:ascii="仿宋_GB2312" w:eastAsia="仿宋_GB2312" w:hAnsi="Times New Roman" w:cs="仿宋_GB2312"/>
                <w:color w:val="auto"/>
              </w:rPr>
              <w:t>和</w:t>
            </w:r>
            <w:r w:rsidRPr="00934114">
              <w:rPr>
                <w:rFonts w:ascii="仿宋_GB2312" w:eastAsia="仿宋_GB2312" w:hAnsi="Times New Roman" w:cs="仿宋_GB2312" w:hint="eastAsia"/>
                <w:color w:val="auto"/>
              </w:rPr>
              <w:t>实验室在新建、扩建、改造实验室等项目开工前，实验室规划须遵循空间布局、消防、强弱电、给排水、供暖与通风、建筑材料等一般性要求，同时要根据实验室安全的使用特点遵循通风系统（包括通风橱、排风量、废气处置等）、气路与气瓶柜、试剂柜、实验台、防震防磁、噪声控制和生物安全柜等特殊要求。</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资产管理处、保卫处、</w:t>
            </w:r>
            <w:r w:rsidRPr="00454D70">
              <w:rPr>
                <w:rFonts w:ascii="仿宋_GB2312" w:eastAsia="仿宋_GB2312" w:hAnsi="Times New Roman" w:cs="仿宋_GB2312"/>
                <w:color w:val="auto"/>
              </w:rPr>
              <w:t>后勤服务中心</w:t>
            </w:r>
            <w:r w:rsidRPr="00454D70">
              <w:rPr>
                <w:rFonts w:ascii="仿宋_GB2312" w:eastAsia="仿宋_GB2312" w:hAnsi="Times New Roman" w:cs="仿宋_GB2312" w:hint="eastAsia"/>
                <w:color w:val="auto"/>
              </w:rPr>
              <w:t>、基建处、科学技术研究院、教务处、研究生院</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p>
        </w:tc>
      </w:tr>
      <w:tr w:rsidR="001A3FFF" w:rsidRPr="003F326D" w:rsidTr="00ED3ACA">
        <w:trPr>
          <w:trHeight w:val="807"/>
          <w:jc w:val="center"/>
        </w:trPr>
        <w:tc>
          <w:tcPr>
            <w:tcW w:w="1402" w:type="dxa"/>
            <w:vMerge/>
            <w:shd w:val="clear" w:color="auto" w:fill="auto"/>
            <w:vAlign w:val="center"/>
          </w:tcPr>
          <w:p w:rsidR="001A3FFF" w:rsidRPr="006F7825" w:rsidRDefault="001A3FFF" w:rsidP="00ED3ACA">
            <w:pPr>
              <w:snapToGrid w:val="0"/>
              <w:spacing w:line="360" w:lineRule="auto"/>
              <w:rPr>
                <w:rFonts w:ascii="黑体" w:eastAsia="黑体" w:hAnsi="黑体"/>
                <w:b/>
                <w:bCs/>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2</w:t>
            </w:r>
            <w:r w:rsidRPr="00934114">
              <w:rPr>
                <w:rFonts w:ascii="仿宋_GB2312" w:eastAsia="仿宋_GB2312" w:hAnsi="Times New Roman" w:cs="仿宋_GB2312" w:hint="eastAsia"/>
                <w:color w:val="auto"/>
              </w:rPr>
              <w:t>6．督促和协助二级单位对于实验室设计、建设装修、设施设备、原料供应、物流、卫生、危废处理等，有关主体未获学校实验室安全审批不得准入。</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采购与招投标管理中心</w:t>
            </w:r>
            <w:r w:rsidRPr="00454D70">
              <w:rPr>
                <w:rFonts w:ascii="仿宋_GB2312" w:eastAsia="仿宋_GB2312" w:hAnsi="Times New Roman" w:cs="仿宋_GB2312"/>
                <w:color w:val="auto"/>
              </w:rPr>
              <w:t>、</w:t>
            </w:r>
            <w:r w:rsidRPr="00454D70">
              <w:rPr>
                <w:rFonts w:ascii="仿宋_GB2312" w:eastAsia="仿宋_GB2312" w:hAnsi="Times New Roman" w:cs="仿宋_GB2312" w:hint="eastAsia"/>
                <w:color w:val="auto"/>
              </w:rPr>
              <w:t>基建处、资产管理处、</w:t>
            </w:r>
            <w:r w:rsidRPr="00454D70">
              <w:rPr>
                <w:rFonts w:ascii="仿宋_GB2312" w:eastAsia="仿宋_GB2312" w:hAnsi="Times New Roman" w:cs="仿宋_GB2312"/>
                <w:color w:val="auto"/>
              </w:rPr>
              <w:t>后勤服务中心</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p>
        </w:tc>
      </w:tr>
      <w:tr w:rsidR="001A3FFF" w:rsidRPr="003F326D" w:rsidTr="00ED3ACA">
        <w:trPr>
          <w:trHeight w:val="807"/>
          <w:jc w:val="center"/>
        </w:trPr>
        <w:tc>
          <w:tcPr>
            <w:tcW w:w="1402" w:type="dxa"/>
            <w:vMerge/>
            <w:shd w:val="clear" w:color="auto" w:fill="auto"/>
            <w:vAlign w:val="center"/>
          </w:tcPr>
          <w:p w:rsidR="001A3FFF" w:rsidRPr="006F7825" w:rsidRDefault="001A3FFF" w:rsidP="00ED3ACA">
            <w:pPr>
              <w:snapToGrid w:val="0"/>
              <w:spacing w:line="360" w:lineRule="auto"/>
              <w:rPr>
                <w:rFonts w:ascii="黑体" w:eastAsia="黑体" w:hAnsi="黑体"/>
                <w:b/>
                <w:bCs/>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27</w:t>
            </w:r>
            <w:r w:rsidRPr="00934114">
              <w:rPr>
                <w:rFonts w:ascii="仿宋_GB2312" w:eastAsia="仿宋_GB2312" w:hAnsi="Times New Roman" w:cs="仿宋_GB2312" w:hint="eastAsia"/>
                <w:color w:val="auto"/>
              </w:rPr>
              <w:t>．鼓励信息化赋能，开展实验室安全信息管理系统、监控预警系统、实验室安全和生物安全风险源信息化管理系统等规范化建设。</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资产管理处、保卫处</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信息化</w:t>
            </w:r>
            <w:r w:rsidRPr="00454D70">
              <w:rPr>
                <w:rFonts w:ascii="仿宋_GB2312" w:eastAsia="仿宋_GB2312" w:hAnsi="Times New Roman" w:cs="仿宋_GB2312"/>
                <w:color w:val="auto"/>
              </w:rPr>
              <w:t>办公室</w:t>
            </w:r>
          </w:p>
        </w:tc>
      </w:tr>
      <w:tr w:rsidR="001A3FFF" w:rsidRPr="003F326D" w:rsidTr="00ED3ACA">
        <w:trPr>
          <w:trHeight w:val="253"/>
          <w:jc w:val="center"/>
        </w:trPr>
        <w:tc>
          <w:tcPr>
            <w:tcW w:w="1402" w:type="dxa"/>
            <w:vMerge w:val="restart"/>
            <w:shd w:val="clear" w:color="auto" w:fill="auto"/>
            <w:tcMar>
              <w:top w:w="15" w:type="dxa"/>
              <w:left w:w="15" w:type="dxa"/>
              <w:bottom w:w="0" w:type="dxa"/>
              <w:right w:w="15" w:type="dxa"/>
            </w:tcMar>
            <w:vAlign w:val="center"/>
            <w:hideMark/>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r w:rsidRPr="006F7825">
              <w:rPr>
                <w:rFonts w:ascii="仿宋_GB2312" w:eastAsia="仿宋_GB2312" w:hAnsi="Times New Roman" w:cs="仿宋_GB2312" w:hint="eastAsia"/>
                <w:b/>
                <w:bCs/>
                <w:color w:val="auto"/>
              </w:rPr>
              <w:t>八、持续开展实验室安全专项检查</w:t>
            </w:r>
          </w:p>
        </w:tc>
        <w:tc>
          <w:tcPr>
            <w:tcW w:w="7796" w:type="dxa"/>
            <w:tcMar>
              <w:top w:w="15" w:type="dxa"/>
              <w:left w:w="15" w:type="dxa"/>
              <w:bottom w:w="0" w:type="dxa"/>
              <w:right w:w="15" w:type="dxa"/>
            </w:tcMar>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hint="eastAsia"/>
                <w:color w:val="auto"/>
              </w:rPr>
              <w:t>2</w:t>
            </w:r>
            <w:r w:rsidRPr="00934114">
              <w:rPr>
                <w:rFonts w:ascii="仿宋_GB2312" w:eastAsia="仿宋_GB2312" w:hAnsi="Times New Roman" w:cs="仿宋_GB2312"/>
                <w:color w:val="auto"/>
              </w:rPr>
              <w:t>8</w:t>
            </w:r>
            <w:r w:rsidRPr="00934114">
              <w:rPr>
                <w:rFonts w:ascii="仿宋_GB2312" w:eastAsia="仿宋_GB2312" w:hAnsi="Times New Roman" w:cs="仿宋_GB2312" w:hint="eastAsia"/>
                <w:color w:val="auto"/>
              </w:rPr>
              <w:t>．开展“全过程、全要素、全覆盖”定期安全检查，核查责任体系、规章制度、风险评估、安全准入、教育培训、规范操作、资源保障、应急预案等落实情况和存在的安全隐患。</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保卫处、科学技术研究院、教务处、研究生院、人事处、学生处、国际文化</w:t>
            </w:r>
            <w:r w:rsidRPr="00454D70">
              <w:rPr>
                <w:rFonts w:ascii="仿宋_GB2312" w:eastAsia="仿宋_GB2312" w:hAnsi="Times New Roman" w:cs="仿宋_GB2312" w:hint="eastAsia"/>
                <w:color w:val="auto"/>
              </w:rPr>
              <w:lastRenderedPageBreak/>
              <w:t>交流学院、</w:t>
            </w:r>
            <w:r w:rsidRPr="00454D70">
              <w:rPr>
                <w:rFonts w:ascii="仿宋_GB2312" w:eastAsia="仿宋_GB2312" w:hAnsi="Times New Roman" w:cs="仿宋_GB2312"/>
                <w:color w:val="auto"/>
              </w:rPr>
              <w:t>后勤服务中心</w:t>
            </w:r>
          </w:p>
        </w:tc>
      </w:tr>
      <w:tr w:rsidR="001A3FFF" w:rsidRPr="003F326D" w:rsidTr="00ED3ACA">
        <w:trPr>
          <w:trHeight w:val="479"/>
          <w:jc w:val="center"/>
        </w:trPr>
        <w:tc>
          <w:tcPr>
            <w:tcW w:w="1402" w:type="dxa"/>
            <w:vMerge/>
            <w:shd w:val="clear" w:color="auto" w:fill="auto"/>
            <w:vAlign w:val="center"/>
            <w:hideMark/>
          </w:tcPr>
          <w:p w:rsidR="001A3FFF" w:rsidRPr="006F7825" w:rsidRDefault="001A3FFF" w:rsidP="00ED3ACA">
            <w:pPr>
              <w:snapToGrid w:val="0"/>
              <w:spacing w:line="360" w:lineRule="auto"/>
              <w:jc w:val="center"/>
              <w:rPr>
                <w:rFonts w:ascii="黑体" w:eastAsia="黑体" w:hAnsi="黑体"/>
                <w:b/>
                <w:bCs/>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29</w:t>
            </w:r>
            <w:r w:rsidRPr="00934114">
              <w:rPr>
                <w:rFonts w:ascii="仿宋_GB2312" w:eastAsia="仿宋_GB2312" w:hAnsi="Times New Roman" w:cs="仿宋_GB2312" w:hint="eastAsia"/>
                <w:color w:val="auto"/>
              </w:rPr>
              <w:t>．加强检查涉及危险化学品和生物安全（含危险生物因子）等的采购、保存、使用、处置的全程管理。</w:t>
            </w:r>
          </w:p>
        </w:tc>
        <w:tc>
          <w:tcPr>
            <w:tcW w:w="1843" w:type="dxa"/>
            <w:shd w:val="clear" w:color="auto" w:fill="auto"/>
            <w:tcMar>
              <w:top w:w="15" w:type="dxa"/>
              <w:left w:w="15" w:type="dxa"/>
              <w:bottom w:w="0" w:type="dxa"/>
              <w:right w:w="15" w:type="dxa"/>
            </w:tcMar>
            <w:vAlign w:val="center"/>
            <w:hideMark/>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r w:rsidRPr="00454D70">
              <w:rPr>
                <w:rFonts w:ascii="仿宋_GB2312" w:eastAsia="仿宋_GB2312" w:hAnsi="Times New Roman" w:cs="仿宋_GB2312"/>
                <w:color w:val="auto"/>
              </w:rPr>
              <w:t>采购与招投标管理中心</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科学技术研究院、教务处、研究生院</w:t>
            </w:r>
          </w:p>
        </w:tc>
      </w:tr>
      <w:tr w:rsidR="001A3FFF" w:rsidRPr="003F326D" w:rsidTr="00ED3ACA">
        <w:trPr>
          <w:trHeight w:val="661"/>
          <w:jc w:val="center"/>
        </w:trPr>
        <w:tc>
          <w:tcPr>
            <w:tcW w:w="1402" w:type="dxa"/>
            <w:vMerge/>
            <w:shd w:val="clear" w:color="auto" w:fill="auto"/>
            <w:vAlign w:val="center"/>
          </w:tcPr>
          <w:p w:rsidR="001A3FFF" w:rsidRPr="006F7825" w:rsidRDefault="001A3FFF" w:rsidP="00ED3ACA">
            <w:pPr>
              <w:snapToGrid w:val="0"/>
              <w:spacing w:line="360" w:lineRule="auto"/>
              <w:jc w:val="center"/>
              <w:rPr>
                <w:rFonts w:ascii="黑体" w:eastAsia="黑体" w:hAnsi="黑体"/>
                <w:b/>
                <w:bCs/>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30</w:t>
            </w:r>
            <w:r w:rsidRPr="00934114">
              <w:rPr>
                <w:rFonts w:ascii="仿宋_GB2312" w:eastAsia="仿宋_GB2312" w:hAnsi="Times New Roman" w:cs="仿宋_GB2312" w:hint="eastAsia"/>
                <w:color w:val="auto"/>
              </w:rPr>
              <w:t>．实行问题排查、登记、报告、整改的“闭环管理”，严格落实整改措施、责任、资金、时限和预案“五到位”。督促和协助二级单位</w:t>
            </w:r>
            <w:r w:rsidRPr="00934114">
              <w:rPr>
                <w:rFonts w:ascii="仿宋_GB2312" w:eastAsia="仿宋_GB2312" w:hAnsi="Times New Roman" w:cs="仿宋_GB2312"/>
                <w:color w:val="auto"/>
              </w:rPr>
              <w:t>和</w:t>
            </w:r>
            <w:r w:rsidRPr="00934114">
              <w:rPr>
                <w:rFonts w:ascii="仿宋_GB2312" w:eastAsia="仿宋_GB2312" w:hAnsi="Times New Roman" w:cs="仿宋_GB2312" w:hint="eastAsia"/>
                <w:color w:val="auto"/>
              </w:rPr>
              <w:t>实验室，</w:t>
            </w:r>
            <w:r w:rsidRPr="00934114">
              <w:rPr>
                <w:rFonts w:ascii="仿宋_GB2312" w:eastAsia="仿宋_GB2312" w:hAnsi="Times New Roman" w:cs="仿宋_GB2312"/>
                <w:color w:val="auto"/>
              </w:rPr>
              <w:t>须</w:t>
            </w:r>
            <w:r w:rsidRPr="00934114">
              <w:rPr>
                <w:rFonts w:ascii="仿宋_GB2312" w:eastAsia="仿宋_GB2312" w:hAnsi="Times New Roman" w:cs="仿宋_GB2312" w:hint="eastAsia"/>
                <w:color w:val="auto"/>
              </w:rPr>
              <w:t>实行安全检查与隐患整改的闭环管理。</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综合治理办公室</w:t>
            </w:r>
          </w:p>
        </w:tc>
      </w:tr>
      <w:tr w:rsidR="001A3FFF" w:rsidRPr="003F326D" w:rsidTr="00ED3ACA">
        <w:trPr>
          <w:trHeight w:val="661"/>
          <w:jc w:val="center"/>
        </w:trPr>
        <w:tc>
          <w:tcPr>
            <w:tcW w:w="1402" w:type="dxa"/>
            <w:vMerge/>
            <w:shd w:val="clear" w:color="auto" w:fill="auto"/>
            <w:vAlign w:val="center"/>
          </w:tcPr>
          <w:p w:rsidR="001A3FFF" w:rsidRPr="006F7825" w:rsidRDefault="001A3FFF" w:rsidP="00ED3ACA">
            <w:pPr>
              <w:snapToGrid w:val="0"/>
              <w:spacing w:line="360" w:lineRule="auto"/>
              <w:jc w:val="center"/>
              <w:rPr>
                <w:rFonts w:ascii="黑体" w:eastAsia="黑体" w:hAnsi="黑体"/>
                <w:b/>
                <w:bCs/>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31</w:t>
            </w:r>
            <w:r w:rsidRPr="00934114">
              <w:rPr>
                <w:rFonts w:ascii="仿宋_GB2312" w:eastAsia="仿宋_GB2312" w:hAnsi="Times New Roman" w:cs="仿宋_GB2312" w:hint="eastAsia"/>
                <w:color w:val="auto"/>
              </w:rPr>
              <w:t>．重大安全事故隐患一经发现立整立改，相关实验室立即停止运行直至隐患彻底整改消除，经学校审核批准后方可恢复运行。</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综合治理办公室</w:t>
            </w:r>
          </w:p>
        </w:tc>
      </w:tr>
      <w:tr w:rsidR="001A3FFF" w:rsidRPr="003F326D" w:rsidTr="00ED3ACA">
        <w:trPr>
          <w:trHeight w:val="661"/>
          <w:jc w:val="center"/>
        </w:trPr>
        <w:tc>
          <w:tcPr>
            <w:tcW w:w="1402" w:type="dxa"/>
            <w:vMerge/>
            <w:shd w:val="clear" w:color="auto" w:fill="auto"/>
            <w:vAlign w:val="center"/>
          </w:tcPr>
          <w:p w:rsidR="001A3FFF" w:rsidRPr="006F7825" w:rsidRDefault="001A3FFF" w:rsidP="00ED3ACA">
            <w:pPr>
              <w:snapToGrid w:val="0"/>
              <w:spacing w:line="360" w:lineRule="auto"/>
              <w:jc w:val="center"/>
              <w:rPr>
                <w:rFonts w:ascii="黑体" w:eastAsia="黑体" w:hAnsi="黑体"/>
                <w:b/>
                <w:bCs/>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t>32</w:t>
            </w:r>
            <w:r w:rsidRPr="00934114">
              <w:rPr>
                <w:rFonts w:ascii="仿宋_GB2312" w:eastAsia="仿宋_GB2312" w:hAnsi="Times New Roman" w:cs="仿宋_GB2312" w:hint="eastAsia"/>
                <w:color w:val="auto"/>
              </w:rPr>
              <w:t>．对于实验室安全责任制度落实不到位，安全管理存在重大问题、安全隐患整改不及时不彻底的二级单位和个人，涉及到违纪违规的，资产管理处会同纪检监察部门、组织人事部门和实验室专项行动分解任务的牵头部门，按照各部门权限和职责分别提出问责追责建议。</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纪委办公室</w:t>
            </w:r>
            <w:r w:rsidRPr="00454D70">
              <w:rPr>
                <w:rFonts w:ascii="仿宋_GB2312" w:eastAsia="仿宋_GB2312" w:hAnsi="Times New Roman" w:cs="仿宋_GB2312"/>
                <w:color w:val="auto"/>
              </w:rPr>
              <w:t>、监察处</w:t>
            </w:r>
            <w:r w:rsidRPr="00454D70">
              <w:rPr>
                <w:rFonts w:ascii="仿宋_GB2312" w:eastAsia="仿宋_GB2312" w:hAnsi="Times New Roman" w:cs="仿宋_GB2312" w:hint="eastAsia"/>
                <w:color w:val="auto"/>
              </w:rPr>
              <w:t>、组织部</w:t>
            </w:r>
            <w:r w:rsidRPr="00454D70">
              <w:rPr>
                <w:rFonts w:ascii="仿宋_GB2312" w:eastAsia="仿宋_GB2312" w:hAnsi="Times New Roman" w:cs="仿宋_GB2312"/>
                <w:color w:val="auto"/>
              </w:rPr>
              <w:t>、</w:t>
            </w:r>
            <w:r w:rsidRPr="00454D70">
              <w:rPr>
                <w:rFonts w:ascii="仿宋_GB2312" w:eastAsia="仿宋_GB2312" w:hAnsi="Times New Roman" w:cs="仿宋_GB2312" w:hint="eastAsia"/>
                <w:color w:val="auto"/>
              </w:rPr>
              <w:t>人事处，</w:t>
            </w:r>
            <w:r w:rsidRPr="00454D70">
              <w:rPr>
                <w:rFonts w:ascii="仿宋_GB2312" w:eastAsia="仿宋_GB2312" w:hAnsi="Times New Roman" w:cs="仿宋_GB2312"/>
                <w:color w:val="auto"/>
              </w:rPr>
              <w:t>以及相关职能部处</w:t>
            </w:r>
          </w:p>
        </w:tc>
      </w:tr>
      <w:tr w:rsidR="001A3FFF" w:rsidRPr="003F326D" w:rsidTr="00ED3ACA">
        <w:trPr>
          <w:trHeight w:val="949"/>
          <w:jc w:val="center"/>
        </w:trPr>
        <w:tc>
          <w:tcPr>
            <w:tcW w:w="1402" w:type="dxa"/>
            <w:shd w:val="clear" w:color="auto" w:fill="auto"/>
            <w:tcMar>
              <w:top w:w="15" w:type="dxa"/>
              <w:left w:w="15" w:type="dxa"/>
              <w:bottom w:w="0" w:type="dxa"/>
              <w:right w:w="15" w:type="dxa"/>
            </w:tcMar>
            <w:vAlign w:val="center"/>
            <w:hideMark/>
          </w:tcPr>
          <w:p w:rsidR="001A3FFF" w:rsidRPr="006F7825" w:rsidRDefault="001A3FFF" w:rsidP="00ED3ACA">
            <w:pPr>
              <w:pStyle w:val="Default"/>
              <w:snapToGrid w:val="0"/>
              <w:spacing w:line="360" w:lineRule="auto"/>
              <w:jc w:val="both"/>
              <w:rPr>
                <w:rFonts w:ascii="仿宋" w:eastAsia="仿宋" w:hAnsi="仿宋"/>
                <w:b/>
                <w:bCs/>
              </w:rPr>
            </w:pPr>
            <w:r w:rsidRPr="006F7825">
              <w:rPr>
                <w:rFonts w:ascii="仿宋_GB2312" w:eastAsia="仿宋_GB2312" w:hAnsi="Times New Roman" w:cs="仿宋_GB2312" w:hint="eastAsia"/>
                <w:b/>
                <w:bCs/>
                <w:color w:val="auto"/>
              </w:rPr>
              <w:t>九、加强实验室安全研究</w:t>
            </w:r>
            <w:r w:rsidRPr="006F7825">
              <w:rPr>
                <w:rFonts w:ascii="仿宋_GB2312" w:eastAsia="仿宋_GB2312" w:hAnsi="Times New Roman" w:cs="仿宋_GB2312" w:hint="eastAsia"/>
                <w:b/>
                <w:bCs/>
                <w:color w:val="auto"/>
              </w:rPr>
              <w:lastRenderedPageBreak/>
              <w:t>与标准建设</w:t>
            </w:r>
          </w:p>
        </w:tc>
        <w:tc>
          <w:tcPr>
            <w:tcW w:w="7796" w:type="dxa"/>
            <w:tcMar>
              <w:top w:w="15" w:type="dxa"/>
              <w:left w:w="15" w:type="dxa"/>
              <w:bottom w:w="0" w:type="dxa"/>
              <w:right w:w="15" w:type="dxa"/>
            </w:tcMar>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color w:val="auto"/>
              </w:rPr>
              <w:lastRenderedPageBreak/>
              <w:t>33</w:t>
            </w:r>
            <w:r w:rsidRPr="00934114">
              <w:rPr>
                <w:rFonts w:ascii="仿宋_GB2312" w:eastAsia="仿宋_GB2312" w:hAnsi="Times New Roman" w:cs="仿宋_GB2312" w:hint="eastAsia"/>
                <w:color w:val="auto"/>
              </w:rPr>
              <w:t>．针对实验室危险因素量多面广、人员流动性强、研究内容变化多、科研探索性强等特点，加强实验室安全相关科学研究。开展相关制度规范以</w:t>
            </w:r>
            <w:r w:rsidRPr="00934114">
              <w:rPr>
                <w:rFonts w:ascii="仿宋_GB2312" w:eastAsia="仿宋_GB2312" w:hAnsi="Times New Roman" w:cs="仿宋_GB2312" w:hint="eastAsia"/>
                <w:color w:val="auto"/>
              </w:rPr>
              <w:lastRenderedPageBreak/>
              <w:t>及技术标准的研究工作。积极支持实验室安全教育课程参与重点课程、一流课程、教改项目等教育教学项目的建设认定。</w:t>
            </w:r>
          </w:p>
        </w:tc>
        <w:tc>
          <w:tcPr>
            <w:tcW w:w="1843" w:type="dxa"/>
            <w:shd w:val="clear" w:color="auto" w:fill="auto"/>
            <w:tcMar>
              <w:top w:w="15" w:type="dxa"/>
              <w:left w:w="15" w:type="dxa"/>
              <w:bottom w:w="0" w:type="dxa"/>
              <w:right w:w="15" w:type="dxa"/>
            </w:tcMar>
            <w:vAlign w:val="center"/>
            <w:hideMark/>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lastRenderedPageBreak/>
              <w:t>科学技术研究院、教务处、</w:t>
            </w:r>
            <w:r w:rsidRPr="00454D70">
              <w:rPr>
                <w:rFonts w:ascii="仿宋_GB2312" w:eastAsia="仿宋_GB2312" w:hAnsi="Times New Roman" w:cs="仿宋_GB2312"/>
                <w:color w:val="auto"/>
              </w:rPr>
              <w:t>研究生院</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r>
      <w:tr w:rsidR="001A3FFF" w:rsidRPr="003F326D" w:rsidTr="00ED3ACA">
        <w:trPr>
          <w:trHeight w:val="673"/>
          <w:jc w:val="center"/>
        </w:trPr>
        <w:tc>
          <w:tcPr>
            <w:tcW w:w="1402" w:type="dxa"/>
            <w:vMerge w:val="restart"/>
            <w:shd w:val="clear" w:color="auto" w:fill="auto"/>
            <w:tcMar>
              <w:top w:w="15" w:type="dxa"/>
              <w:left w:w="15" w:type="dxa"/>
              <w:bottom w:w="0" w:type="dxa"/>
              <w:right w:w="15" w:type="dxa"/>
            </w:tcMar>
            <w:vAlign w:val="center"/>
            <w:hideMark/>
          </w:tcPr>
          <w:p w:rsidR="001A3FFF" w:rsidRPr="006F7825" w:rsidRDefault="001A3FFF" w:rsidP="00ED3ACA">
            <w:pPr>
              <w:pStyle w:val="Default"/>
              <w:snapToGrid w:val="0"/>
              <w:spacing w:line="360" w:lineRule="auto"/>
              <w:jc w:val="both"/>
              <w:rPr>
                <w:rFonts w:ascii="仿宋_GB2312" w:eastAsia="仿宋_GB2312" w:hAnsi="Times New Roman" w:cs="仿宋_GB2312"/>
                <w:b/>
                <w:bCs/>
                <w:color w:val="auto"/>
              </w:rPr>
            </w:pPr>
            <w:r w:rsidRPr="006F7825">
              <w:rPr>
                <w:rFonts w:ascii="仿宋_GB2312" w:eastAsia="仿宋_GB2312" w:hAnsi="Times New Roman" w:cs="仿宋_GB2312" w:hint="eastAsia"/>
                <w:b/>
                <w:bCs/>
                <w:color w:val="auto"/>
              </w:rPr>
              <w:t>十、组织实施</w:t>
            </w:r>
          </w:p>
        </w:tc>
        <w:tc>
          <w:tcPr>
            <w:tcW w:w="7796" w:type="dxa"/>
            <w:tcMar>
              <w:top w:w="15" w:type="dxa"/>
              <w:left w:w="15" w:type="dxa"/>
              <w:bottom w:w="0" w:type="dxa"/>
              <w:right w:w="15" w:type="dxa"/>
            </w:tcMar>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hint="eastAsia"/>
                <w:color w:val="auto"/>
              </w:rPr>
              <w:t>3</w:t>
            </w:r>
            <w:r w:rsidRPr="00934114">
              <w:rPr>
                <w:rFonts w:ascii="仿宋_GB2312" w:eastAsia="仿宋_GB2312" w:hAnsi="Times New Roman" w:cs="仿宋_GB2312"/>
                <w:color w:val="auto"/>
              </w:rPr>
              <w:t>4</w:t>
            </w:r>
            <w:r w:rsidRPr="00934114">
              <w:rPr>
                <w:rFonts w:ascii="仿宋_GB2312" w:eastAsia="仿宋_GB2312" w:hAnsi="Times New Roman" w:cs="仿宋_GB2312" w:hint="eastAsia"/>
                <w:color w:val="auto"/>
              </w:rPr>
              <w:t>．压实各级责任。东华大学实验室安全管理领导小组和工作小组，履行专项行动领导小组和工作小组的职责，研究解决推进过程中的重大问题。相关职能部处须严格落实“管业务必须管安全”要求，按照业务相近的原则，突出专业性和精准性，加强专项行动相关业务工作督促和协助。各二级单位须切实履行实验室安全主体责任，组织开展好本单位的专项行动。</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党委办公室、校长办公室</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r>
      <w:tr w:rsidR="001A3FFF" w:rsidRPr="003F326D" w:rsidTr="00ED3ACA">
        <w:trPr>
          <w:trHeight w:val="41"/>
          <w:jc w:val="center"/>
        </w:trPr>
        <w:tc>
          <w:tcPr>
            <w:tcW w:w="1402" w:type="dxa"/>
            <w:vMerge/>
            <w:shd w:val="clear" w:color="auto" w:fill="auto"/>
            <w:vAlign w:val="center"/>
          </w:tcPr>
          <w:p w:rsidR="001A3FFF" w:rsidRPr="003F326D" w:rsidRDefault="001A3FFF" w:rsidP="00ED3ACA">
            <w:pPr>
              <w:snapToGrid w:val="0"/>
              <w:spacing w:line="360" w:lineRule="auto"/>
              <w:rPr>
                <w:rFonts w:ascii="黑体" w:eastAsia="黑体" w:hAnsi="黑体"/>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hint="eastAsia"/>
                <w:color w:val="auto"/>
              </w:rPr>
              <w:t>3</w:t>
            </w:r>
            <w:r w:rsidRPr="00934114">
              <w:rPr>
                <w:rFonts w:ascii="仿宋_GB2312" w:eastAsia="仿宋_GB2312" w:hAnsi="Times New Roman" w:cs="仿宋_GB2312"/>
                <w:color w:val="auto"/>
              </w:rPr>
              <w:t>5</w:t>
            </w:r>
            <w:r w:rsidRPr="00934114">
              <w:rPr>
                <w:rFonts w:ascii="仿宋_GB2312" w:eastAsia="仿宋_GB2312" w:hAnsi="Times New Roman" w:cs="仿宋_GB2312" w:hint="eastAsia"/>
                <w:color w:val="auto"/>
              </w:rPr>
              <w:t>．建立长效机制。根据“谁使用、谁负责，谁主管、谁负责”原则，健全相关制度，完善工作机制，落实行动措施。坚持问题导向，任务逐项分解到岗位、到人员，建立动态管理工作台账，加强督导整治。须认真制定年度实验室安全工作计划，并及时总结实验室安全工作进展、实施成效以及经验做法等。</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党委办公室、校长办公室</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r>
      <w:tr w:rsidR="001A3FFF" w:rsidRPr="003F326D" w:rsidTr="00ED3ACA">
        <w:trPr>
          <w:trHeight w:val="382"/>
          <w:jc w:val="center"/>
        </w:trPr>
        <w:tc>
          <w:tcPr>
            <w:tcW w:w="1402" w:type="dxa"/>
            <w:vMerge/>
            <w:shd w:val="clear" w:color="auto" w:fill="auto"/>
            <w:vAlign w:val="center"/>
          </w:tcPr>
          <w:p w:rsidR="001A3FFF" w:rsidRPr="003F326D" w:rsidRDefault="001A3FFF" w:rsidP="00ED3ACA">
            <w:pPr>
              <w:snapToGrid w:val="0"/>
              <w:spacing w:line="360" w:lineRule="auto"/>
              <w:rPr>
                <w:rFonts w:ascii="黑体" w:eastAsia="黑体" w:hAnsi="黑体"/>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hint="eastAsia"/>
                <w:color w:val="auto"/>
              </w:rPr>
              <w:t>3</w:t>
            </w:r>
            <w:r w:rsidRPr="00934114">
              <w:rPr>
                <w:rFonts w:ascii="仿宋_GB2312" w:eastAsia="仿宋_GB2312" w:hAnsi="Times New Roman" w:cs="仿宋_GB2312"/>
                <w:color w:val="auto"/>
              </w:rPr>
              <w:t>6</w:t>
            </w:r>
            <w:r w:rsidRPr="00934114">
              <w:rPr>
                <w:rFonts w:ascii="仿宋_GB2312" w:eastAsia="仿宋_GB2312" w:hAnsi="Times New Roman" w:cs="仿宋_GB2312" w:hint="eastAsia"/>
                <w:color w:val="auto"/>
              </w:rPr>
              <w:t>．加强考核督查。严格落实“党政同责、一岗双责、齐抓共管、失职追责”要求，将实验室安全管理工作情况纳入绩效考核和干部考核，对在实验室安全工作中成绩突出的单位和个人给予表彰奖励；对未能履职尽责的单位和个人，在考核评价中予以批评和惩处。对因违反法律法规和学校实</w:t>
            </w:r>
            <w:r w:rsidRPr="00934114">
              <w:rPr>
                <w:rFonts w:ascii="仿宋_GB2312" w:eastAsia="仿宋_GB2312" w:hAnsi="Times New Roman" w:cs="仿宋_GB2312" w:hint="eastAsia"/>
                <w:color w:val="auto"/>
              </w:rPr>
              <w:lastRenderedPageBreak/>
              <w:t>验室安全管理相关规定等，造成实验室安全责任事故或责任事件的，依法依规追究责任。</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lastRenderedPageBreak/>
              <w:t>组织部、人事处、学生处、国际文化交流学院</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r w:rsidRPr="00454D70">
              <w:rPr>
                <w:rFonts w:ascii="仿宋_GB2312" w:eastAsia="仿宋_GB2312" w:hAnsi="Times New Roman" w:cs="仿宋_GB2312"/>
                <w:color w:val="auto"/>
              </w:rPr>
              <w:t>、综合治理办公室，以及</w:t>
            </w:r>
            <w:r w:rsidRPr="00454D70">
              <w:rPr>
                <w:rFonts w:ascii="仿宋_GB2312" w:eastAsia="仿宋_GB2312" w:hAnsi="Times New Roman" w:cs="仿宋_GB2312" w:hint="eastAsia"/>
                <w:color w:val="auto"/>
              </w:rPr>
              <w:t>相关职能部处</w:t>
            </w:r>
          </w:p>
        </w:tc>
      </w:tr>
      <w:tr w:rsidR="001A3FFF" w:rsidRPr="003F326D" w:rsidTr="00ED3ACA">
        <w:trPr>
          <w:trHeight w:val="1536"/>
          <w:jc w:val="center"/>
        </w:trPr>
        <w:tc>
          <w:tcPr>
            <w:tcW w:w="1402" w:type="dxa"/>
            <w:vMerge/>
            <w:shd w:val="clear" w:color="auto" w:fill="auto"/>
            <w:vAlign w:val="center"/>
          </w:tcPr>
          <w:p w:rsidR="001A3FFF" w:rsidRPr="003F326D" w:rsidRDefault="001A3FFF" w:rsidP="00ED3ACA">
            <w:pPr>
              <w:snapToGrid w:val="0"/>
              <w:spacing w:line="360" w:lineRule="auto"/>
              <w:rPr>
                <w:rFonts w:ascii="黑体" w:eastAsia="黑体" w:hAnsi="黑体"/>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hint="eastAsia"/>
                <w:color w:val="auto"/>
              </w:rPr>
              <w:t>3</w:t>
            </w:r>
            <w:r w:rsidRPr="00934114">
              <w:rPr>
                <w:rFonts w:ascii="仿宋_GB2312" w:eastAsia="仿宋_GB2312" w:hAnsi="Times New Roman" w:cs="仿宋_GB2312"/>
                <w:color w:val="auto"/>
              </w:rPr>
              <w:t>7</w:t>
            </w:r>
            <w:r w:rsidRPr="00934114">
              <w:rPr>
                <w:rFonts w:ascii="仿宋_GB2312" w:eastAsia="仿宋_GB2312" w:hAnsi="Times New Roman" w:cs="仿宋_GB2312" w:hint="eastAsia"/>
                <w:color w:val="auto"/>
              </w:rPr>
              <w:t>．加强宣传教育。按照“全员、全程、全面”的要求，加强实验室安全文化建设，依托每年6月“实验室安全月”和1</w:t>
            </w:r>
            <w:r w:rsidRPr="00934114">
              <w:rPr>
                <w:rFonts w:ascii="仿宋_GB2312" w:eastAsia="仿宋_GB2312" w:hAnsi="Times New Roman" w:cs="仿宋_GB2312"/>
                <w:color w:val="auto"/>
              </w:rPr>
              <w:t>2</w:t>
            </w:r>
            <w:r w:rsidRPr="00934114">
              <w:rPr>
                <w:rFonts w:ascii="仿宋_GB2312" w:eastAsia="仿宋_GB2312" w:hAnsi="Times New Roman" w:cs="仿宋_GB2312" w:hint="eastAsia"/>
                <w:color w:val="auto"/>
              </w:rPr>
              <w:t>月“实验室安全周”等，创新宣传教育形式，宣讲普及实验室安全常识，提高师生实验室安全技能；持续开展实验室安全宣传教育资源建设，鼓励学生参与实验室安全知识竞赛等活动。</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p>
        </w:tc>
        <w:tc>
          <w:tcPr>
            <w:tcW w:w="1980" w:type="dxa"/>
            <w:shd w:val="clear" w:color="auto" w:fill="auto"/>
            <w:tcMar>
              <w:top w:w="15" w:type="dxa"/>
              <w:left w:w="15" w:type="dxa"/>
              <w:bottom w:w="0" w:type="dxa"/>
              <w:right w:w="15" w:type="dxa"/>
            </w:tcMar>
            <w:vAlign w:val="center"/>
          </w:tcPr>
          <w:p w:rsidR="001A3FFF" w:rsidRPr="00454D70" w:rsidRDefault="001A3FFF" w:rsidP="001A3FFF">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党委</w:t>
            </w:r>
            <w:r w:rsidRPr="00454D70">
              <w:rPr>
                <w:rFonts w:ascii="仿宋_GB2312" w:eastAsia="仿宋_GB2312" w:hAnsi="Times New Roman" w:cs="仿宋_GB2312"/>
                <w:color w:val="auto"/>
              </w:rPr>
              <w:t>宣传部</w:t>
            </w:r>
            <w:r w:rsidRPr="00454D70">
              <w:rPr>
                <w:rFonts w:ascii="仿宋_GB2312" w:eastAsia="仿宋_GB2312" w:hAnsi="Times New Roman" w:cs="仿宋_GB2312" w:hint="eastAsia"/>
                <w:color w:val="auto"/>
              </w:rPr>
              <w:t>、综合治理办公室</w:t>
            </w:r>
          </w:p>
        </w:tc>
      </w:tr>
      <w:tr w:rsidR="001A3FFF" w:rsidRPr="003F326D" w:rsidTr="00ED3ACA">
        <w:trPr>
          <w:trHeight w:val="438"/>
          <w:jc w:val="center"/>
        </w:trPr>
        <w:tc>
          <w:tcPr>
            <w:tcW w:w="1402" w:type="dxa"/>
            <w:vMerge/>
            <w:shd w:val="clear" w:color="auto" w:fill="auto"/>
            <w:vAlign w:val="center"/>
          </w:tcPr>
          <w:p w:rsidR="001A3FFF" w:rsidRPr="003F326D" w:rsidRDefault="001A3FFF" w:rsidP="00ED3ACA">
            <w:pPr>
              <w:snapToGrid w:val="0"/>
              <w:spacing w:line="360" w:lineRule="auto"/>
              <w:rPr>
                <w:rFonts w:ascii="黑体" w:eastAsia="黑体" w:hAnsi="黑体"/>
              </w:rPr>
            </w:pPr>
          </w:p>
        </w:tc>
        <w:tc>
          <w:tcPr>
            <w:tcW w:w="7796" w:type="dxa"/>
            <w:vAlign w:val="center"/>
          </w:tcPr>
          <w:p w:rsidR="001A3FFF" w:rsidRPr="00934114" w:rsidRDefault="001A3FFF" w:rsidP="00ED3ACA">
            <w:pPr>
              <w:pStyle w:val="Default"/>
              <w:snapToGrid w:val="0"/>
              <w:spacing w:line="360" w:lineRule="auto"/>
              <w:jc w:val="both"/>
              <w:rPr>
                <w:rFonts w:ascii="仿宋_GB2312" w:eastAsia="仿宋_GB2312" w:hAnsi="Times New Roman" w:cs="仿宋_GB2312"/>
                <w:color w:val="auto"/>
              </w:rPr>
            </w:pPr>
            <w:r w:rsidRPr="00934114">
              <w:rPr>
                <w:rFonts w:ascii="仿宋_GB2312" w:eastAsia="仿宋_GB2312" w:hAnsi="Times New Roman" w:cs="仿宋_GB2312" w:hint="eastAsia"/>
                <w:color w:val="auto"/>
              </w:rPr>
              <w:t>3</w:t>
            </w:r>
            <w:r w:rsidRPr="00934114">
              <w:rPr>
                <w:rFonts w:ascii="仿宋_GB2312" w:eastAsia="仿宋_GB2312" w:hAnsi="Times New Roman" w:cs="仿宋_GB2312"/>
                <w:color w:val="auto"/>
              </w:rPr>
              <w:t>8</w:t>
            </w:r>
            <w:r w:rsidRPr="00934114">
              <w:rPr>
                <w:rFonts w:ascii="仿宋_GB2312" w:eastAsia="仿宋_GB2312" w:hAnsi="Times New Roman" w:cs="仿宋_GB2312" w:hint="eastAsia"/>
                <w:color w:val="auto"/>
              </w:rPr>
              <w:t>．加强条件保障。加强实验室安全专家与师资队伍的培育培训；保障实验室安全管理与技术人员的薪资福利、绩效奖励与职业发展，将实验室安全管理人员列入实验室技术人员序列管理；依据实验室安全规划及年度实验室安全水平提升计划，配备所必需的资金列入每年的预算。</w:t>
            </w:r>
          </w:p>
        </w:tc>
        <w:tc>
          <w:tcPr>
            <w:tcW w:w="1843"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center"/>
              <w:rPr>
                <w:rFonts w:ascii="仿宋_GB2312" w:eastAsia="仿宋_GB2312" w:hAnsi="Times New Roman" w:cs="仿宋_GB2312"/>
                <w:color w:val="auto"/>
              </w:rPr>
            </w:pPr>
            <w:r w:rsidRPr="00454D70">
              <w:rPr>
                <w:rFonts w:ascii="仿宋_GB2312" w:eastAsia="仿宋_GB2312" w:hAnsi="Times New Roman" w:cs="仿宋_GB2312" w:hint="eastAsia"/>
                <w:color w:val="auto"/>
              </w:rPr>
              <w:t>资产管理处、</w:t>
            </w:r>
            <w:r w:rsidRPr="00454D70">
              <w:rPr>
                <w:rFonts w:ascii="仿宋_GB2312" w:eastAsia="仿宋_GB2312" w:hAnsi="Times New Roman" w:cs="仿宋_GB2312"/>
                <w:color w:val="auto"/>
              </w:rPr>
              <w:t>人事处、财务处</w:t>
            </w:r>
          </w:p>
        </w:tc>
        <w:tc>
          <w:tcPr>
            <w:tcW w:w="1980" w:type="dxa"/>
            <w:shd w:val="clear" w:color="auto" w:fill="auto"/>
            <w:tcMar>
              <w:top w:w="15" w:type="dxa"/>
              <w:left w:w="15" w:type="dxa"/>
              <w:bottom w:w="0" w:type="dxa"/>
              <w:right w:w="15" w:type="dxa"/>
            </w:tcMar>
            <w:vAlign w:val="center"/>
          </w:tcPr>
          <w:p w:rsidR="001A3FFF" w:rsidRPr="00454D70" w:rsidRDefault="001A3FFF" w:rsidP="00ED3ACA">
            <w:pPr>
              <w:pStyle w:val="Default"/>
              <w:snapToGrid w:val="0"/>
              <w:spacing w:line="360" w:lineRule="auto"/>
              <w:jc w:val="both"/>
              <w:rPr>
                <w:rFonts w:ascii="仿宋_GB2312" w:eastAsia="仿宋_GB2312" w:hAnsi="Times New Roman" w:cs="仿宋_GB2312"/>
                <w:color w:val="auto"/>
              </w:rPr>
            </w:pPr>
          </w:p>
        </w:tc>
      </w:tr>
    </w:tbl>
    <w:p w:rsidR="001A3FFF" w:rsidRPr="00934114" w:rsidRDefault="001A3FFF" w:rsidP="001A3FFF">
      <w:pPr>
        <w:pStyle w:val="Default"/>
        <w:ind w:firstLineChars="200" w:firstLine="480"/>
        <w:jc w:val="both"/>
        <w:rPr>
          <w:rFonts w:ascii="仿宋_GB2312" w:eastAsia="仿宋_GB2312" w:hAnsi="Times New Roman" w:cs="仿宋_GB2312"/>
          <w:color w:val="auto"/>
        </w:rPr>
      </w:pPr>
      <w:r w:rsidRPr="00934114">
        <w:rPr>
          <w:rFonts w:ascii="仿宋_GB2312" w:eastAsia="仿宋_GB2312" w:hAnsi="Times New Roman" w:cs="仿宋_GB2312" w:hint="eastAsia"/>
          <w:color w:val="auto"/>
        </w:rPr>
        <w:t>*牵头单位</w:t>
      </w:r>
      <w:r w:rsidRPr="00934114">
        <w:rPr>
          <w:rFonts w:ascii="仿宋_GB2312" w:eastAsia="仿宋_GB2312" w:hAnsi="Times New Roman" w:cs="仿宋_GB2312"/>
          <w:color w:val="auto"/>
        </w:rPr>
        <w:t>排名不分先后。</w:t>
      </w:r>
    </w:p>
    <w:p w:rsidR="001A3FFF" w:rsidRPr="006C3D95" w:rsidRDefault="001A3FFF" w:rsidP="001A3FFF">
      <w:pPr>
        <w:pStyle w:val="Default"/>
        <w:ind w:firstLineChars="200" w:firstLine="560"/>
        <w:jc w:val="both"/>
        <w:rPr>
          <w:rFonts w:ascii="仿宋_GB2312" w:eastAsia="仿宋_GB2312" w:hAnsi="Times New Roman" w:cs="仿宋_GB2312"/>
          <w:color w:val="auto"/>
          <w:sz w:val="28"/>
          <w:szCs w:val="28"/>
        </w:rPr>
      </w:pPr>
    </w:p>
    <w:p w:rsidR="001A3FFF" w:rsidRPr="001A3FFF" w:rsidRDefault="001A3FFF" w:rsidP="001A3FFF">
      <w:pPr>
        <w:pStyle w:val="Default"/>
        <w:jc w:val="both"/>
        <w:rPr>
          <w:rFonts w:eastAsia="仿宋_GB2312" w:cs="Helvetica"/>
          <w:b/>
          <w:color w:val="333333"/>
          <w:sz w:val="32"/>
          <w:szCs w:val="32"/>
        </w:rPr>
      </w:pPr>
    </w:p>
    <w:sectPr w:rsidR="001A3FFF" w:rsidRPr="001A3FFF" w:rsidSect="0072097C">
      <w:footerReference w:type="even" r:id="rId8"/>
      <w:footerReference w:type="default" r:id="rId9"/>
      <w:pgSz w:w="16840" w:h="11900" w:orient="landscape"/>
      <w:pgMar w:top="1800" w:right="1440" w:bottom="1800" w:left="1440" w:header="851" w:footer="992"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FB2" w:rsidRDefault="00CA5FB2" w:rsidP="00B1711D">
      <w:r>
        <w:separator/>
      </w:r>
    </w:p>
  </w:endnote>
  <w:endnote w:type="continuationSeparator" w:id="0">
    <w:p w:rsidR="00CA5FB2" w:rsidRDefault="00CA5FB2" w:rsidP="00B1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66B" w:rsidRDefault="00D833A6">
    <w:pPr>
      <w:pStyle w:val="a7"/>
      <w:framePr w:wrap="around" w:vAnchor="text" w:hAnchor="margin" w:xAlign="center" w:y="1"/>
      <w:rPr>
        <w:rStyle w:val="af4"/>
      </w:rPr>
    </w:pPr>
    <w:r w:rsidRPr="007D2DBB">
      <w:rPr>
        <w:rStyle w:val="af4"/>
        <w:sz w:val="28"/>
        <w:szCs w:val="28"/>
      </w:rPr>
      <w:fldChar w:fldCharType="begin"/>
    </w:r>
    <w:r w:rsidR="00D348EB" w:rsidRPr="007D2DBB">
      <w:rPr>
        <w:rStyle w:val="af4"/>
        <w:sz w:val="28"/>
        <w:szCs w:val="28"/>
      </w:rPr>
      <w:instrText xml:space="preserve"> PAGE </w:instrText>
    </w:r>
    <w:r w:rsidRPr="007D2DBB">
      <w:rPr>
        <w:rStyle w:val="af4"/>
        <w:sz w:val="28"/>
        <w:szCs w:val="28"/>
      </w:rPr>
      <w:fldChar w:fldCharType="separate"/>
    </w:r>
    <w:r w:rsidR="002B1D34">
      <w:rPr>
        <w:rStyle w:val="af4"/>
        <w:noProof/>
        <w:sz w:val="28"/>
        <w:szCs w:val="28"/>
      </w:rPr>
      <w:t>- 8 -</w:t>
    </w:r>
    <w:r w:rsidRPr="007D2DBB">
      <w:rPr>
        <w:rStyle w:val="af4"/>
        <w:sz w:val="28"/>
        <w:szCs w:val="28"/>
      </w:rPr>
      <w:fldChar w:fldCharType="end"/>
    </w:r>
  </w:p>
  <w:p w:rsidR="0040766B" w:rsidRDefault="00CA5FB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66B" w:rsidRPr="001A3FFF" w:rsidRDefault="00D833A6" w:rsidP="001A3FFF">
    <w:pPr>
      <w:pStyle w:val="a7"/>
      <w:jc w:val="center"/>
      <w:rPr>
        <w:sz w:val="21"/>
        <w:szCs w:val="24"/>
      </w:rPr>
    </w:pPr>
    <w:r w:rsidRPr="007D2DBB">
      <w:rPr>
        <w:rStyle w:val="af4"/>
        <w:sz w:val="28"/>
        <w:szCs w:val="28"/>
      </w:rPr>
      <w:fldChar w:fldCharType="begin"/>
    </w:r>
    <w:r w:rsidR="001A3FFF" w:rsidRPr="007D2DBB">
      <w:rPr>
        <w:rStyle w:val="af4"/>
        <w:sz w:val="28"/>
        <w:szCs w:val="28"/>
      </w:rPr>
      <w:instrText xml:space="preserve"> PAGE </w:instrText>
    </w:r>
    <w:r w:rsidRPr="007D2DBB">
      <w:rPr>
        <w:rStyle w:val="af4"/>
        <w:sz w:val="28"/>
        <w:szCs w:val="28"/>
      </w:rPr>
      <w:fldChar w:fldCharType="separate"/>
    </w:r>
    <w:r w:rsidR="002B1D34">
      <w:rPr>
        <w:rStyle w:val="af4"/>
        <w:noProof/>
        <w:sz w:val="28"/>
        <w:szCs w:val="28"/>
      </w:rPr>
      <w:t>- 9 -</w:t>
    </w:r>
    <w:r w:rsidRPr="007D2DBB">
      <w:rPr>
        <w:rStyle w:val="af4"/>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FB2" w:rsidRDefault="00CA5FB2" w:rsidP="00B1711D">
      <w:r>
        <w:separator/>
      </w:r>
    </w:p>
  </w:footnote>
  <w:footnote w:type="continuationSeparator" w:id="0">
    <w:p w:rsidR="00CA5FB2" w:rsidRDefault="00CA5FB2" w:rsidP="00B17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ABC684"/>
    <w:multiLevelType w:val="singleLevel"/>
    <w:tmpl w:val="A7ABC68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420"/>
    <w:rsid w:val="00001110"/>
    <w:rsid w:val="00011CA2"/>
    <w:rsid w:val="000146A6"/>
    <w:rsid w:val="00020407"/>
    <w:rsid w:val="0002289E"/>
    <w:rsid w:val="000247DC"/>
    <w:rsid w:val="0002483B"/>
    <w:rsid w:val="00025846"/>
    <w:rsid w:val="00026D49"/>
    <w:rsid w:val="000336F3"/>
    <w:rsid w:val="0003481F"/>
    <w:rsid w:val="000432F5"/>
    <w:rsid w:val="00047174"/>
    <w:rsid w:val="0005225B"/>
    <w:rsid w:val="000576B9"/>
    <w:rsid w:val="00057EA3"/>
    <w:rsid w:val="00061BB6"/>
    <w:rsid w:val="00064EBB"/>
    <w:rsid w:val="000657DC"/>
    <w:rsid w:val="000705A1"/>
    <w:rsid w:val="00074C69"/>
    <w:rsid w:val="00083F7A"/>
    <w:rsid w:val="00084BF4"/>
    <w:rsid w:val="00086308"/>
    <w:rsid w:val="0009384E"/>
    <w:rsid w:val="000C67CF"/>
    <w:rsid w:val="000D14A8"/>
    <w:rsid w:val="000D2396"/>
    <w:rsid w:val="000E5DBA"/>
    <w:rsid w:val="000F17C9"/>
    <w:rsid w:val="000F1D68"/>
    <w:rsid w:val="000F64C4"/>
    <w:rsid w:val="001027F2"/>
    <w:rsid w:val="00103F4B"/>
    <w:rsid w:val="001053F9"/>
    <w:rsid w:val="00130455"/>
    <w:rsid w:val="00135487"/>
    <w:rsid w:val="00140D5B"/>
    <w:rsid w:val="00141C21"/>
    <w:rsid w:val="00147A61"/>
    <w:rsid w:val="00150004"/>
    <w:rsid w:val="00150CD6"/>
    <w:rsid w:val="001531B8"/>
    <w:rsid w:val="001561CB"/>
    <w:rsid w:val="00161896"/>
    <w:rsid w:val="00167691"/>
    <w:rsid w:val="0017736F"/>
    <w:rsid w:val="00183910"/>
    <w:rsid w:val="001906FF"/>
    <w:rsid w:val="00194252"/>
    <w:rsid w:val="001A3FFF"/>
    <w:rsid w:val="001B23EF"/>
    <w:rsid w:val="001B2802"/>
    <w:rsid w:val="001B6FDE"/>
    <w:rsid w:val="001C6434"/>
    <w:rsid w:val="001D49E9"/>
    <w:rsid w:val="001D6AC4"/>
    <w:rsid w:val="001E2905"/>
    <w:rsid w:val="001F21BA"/>
    <w:rsid w:val="001F7D86"/>
    <w:rsid w:val="00207161"/>
    <w:rsid w:val="00210B80"/>
    <w:rsid w:val="00211B41"/>
    <w:rsid w:val="00212B39"/>
    <w:rsid w:val="002160A8"/>
    <w:rsid w:val="00226D36"/>
    <w:rsid w:val="002317BF"/>
    <w:rsid w:val="00233D5D"/>
    <w:rsid w:val="002356C9"/>
    <w:rsid w:val="002431FA"/>
    <w:rsid w:val="00251B96"/>
    <w:rsid w:val="00251C65"/>
    <w:rsid w:val="00252038"/>
    <w:rsid w:val="00255E93"/>
    <w:rsid w:val="0025682D"/>
    <w:rsid w:val="00257E02"/>
    <w:rsid w:val="00261318"/>
    <w:rsid w:val="00264339"/>
    <w:rsid w:val="00266B0C"/>
    <w:rsid w:val="00273BC1"/>
    <w:rsid w:val="00285D42"/>
    <w:rsid w:val="00286488"/>
    <w:rsid w:val="00292713"/>
    <w:rsid w:val="002936F9"/>
    <w:rsid w:val="002B1357"/>
    <w:rsid w:val="002B195B"/>
    <w:rsid w:val="002B1D34"/>
    <w:rsid w:val="002C4780"/>
    <w:rsid w:val="002D069F"/>
    <w:rsid w:val="002D0EDB"/>
    <w:rsid w:val="002D3E00"/>
    <w:rsid w:val="002D4D7E"/>
    <w:rsid w:val="002E05B3"/>
    <w:rsid w:val="002F5A03"/>
    <w:rsid w:val="003077E1"/>
    <w:rsid w:val="00310971"/>
    <w:rsid w:val="00310990"/>
    <w:rsid w:val="003126CA"/>
    <w:rsid w:val="00312B2A"/>
    <w:rsid w:val="00313B2A"/>
    <w:rsid w:val="003308A9"/>
    <w:rsid w:val="00331547"/>
    <w:rsid w:val="00337396"/>
    <w:rsid w:val="00344DCA"/>
    <w:rsid w:val="00350E99"/>
    <w:rsid w:val="00355C36"/>
    <w:rsid w:val="00364326"/>
    <w:rsid w:val="00367DD9"/>
    <w:rsid w:val="00376C0E"/>
    <w:rsid w:val="00397ED5"/>
    <w:rsid w:val="003A0BDB"/>
    <w:rsid w:val="003A42C4"/>
    <w:rsid w:val="003A7869"/>
    <w:rsid w:val="003B076D"/>
    <w:rsid w:val="003B08D1"/>
    <w:rsid w:val="003B2466"/>
    <w:rsid w:val="003B42D9"/>
    <w:rsid w:val="003B58CA"/>
    <w:rsid w:val="003B6983"/>
    <w:rsid w:val="003B70CE"/>
    <w:rsid w:val="003C42FB"/>
    <w:rsid w:val="003C6834"/>
    <w:rsid w:val="003C757A"/>
    <w:rsid w:val="003D1914"/>
    <w:rsid w:val="003E60E0"/>
    <w:rsid w:val="003F53DE"/>
    <w:rsid w:val="0040271A"/>
    <w:rsid w:val="00403659"/>
    <w:rsid w:val="0040610A"/>
    <w:rsid w:val="00406420"/>
    <w:rsid w:val="00415DCC"/>
    <w:rsid w:val="0042109B"/>
    <w:rsid w:val="00423FF1"/>
    <w:rsid w:val="0042606C"/>
    <w:rsid w:val="00426EF1"/>
    <w:rsid w:val="00432500"/>
    <w:rsid w:val="004359F2"/>
    <w:rsid w:val="00435ADA"/>
    <w:rsid w:val="00435B8F"/>
    <w:rsid w:val="00440F3A"/>
    <w:rsid w:val="00441DD9"/>
    <w:rsid w:val="00441F45"/>
    <w:rsid w:val="00446452"/>
    <w:rsid w:val="004476A6"/>
    <w:rsid w:val="00465F91"/>
    <w:rsid w:val="00473B85"/>
    <w:rsid w:val="00485350"/>
    <w:rsid w:val="00490C85"/>
    <w:rsid w:val="00491216"/>
    <w:rsid w:val="004933C4"/>
    <w:rsid w:val="004A5CF3"/>
    <w:rsid w:val="004B4E3D"/>
    <w:rsid w:val="004C1FDB"/>
    <w:rsid w:val="004C55D5"/>
    <w:rsid w:val="004D2161"/>
    <w:rsid w:val="004E085F"/>
    <w:rsid w:val="004E2255"/>
    <w:rsid w:val="00500CD7"/>
    <w:rsid w:val="00501AB9"/>
    <w:rsid w:val="00505337"/>
    <w:rsid w:val="00510954"/>
    <w:rsid w:val="00511372"/>
    <w:rsid w:val="00516A88"/>
    <w:rsid w:val="00534104"/>
    <w:rsid w:val="0054113E"/>
    <w:rsid w:val="00541967"/>
    <w:rsid w:val="005539AD"/>
    <w:rsid w:val="00554C43"/>
    <w:rsid w:val="00565432"/>
    <w:rsid w:val="00567122"/>
    <w:rsid w:val="00571CC5"/>
    <w:rsid w:val="005742E8"/>
    <w:rsid w:val="00575996"/>
    <w:rsid w:val="005817EF"/>
    <w:rsid w:val="00593116"/>
    <w:rsid w:val="00595391"/>
    <w:rsid w:val="005A273F"/>
    <w:rsid w:val="005A5D5B"/>
    <w:rsid w:val="005A738F"/>
    <w:rsid w:val="005B021D"/>
    <w:rsid w:val="005B2E49"/>
    <w:rsid w:val="005B60AD"/>
    <w:rsid w:val="005B7963"/>
    <w:rsid w:val="005B7979"/>
    <w:rsid w:val="005C43D4"/>
    <w:rsid w:val="005C7DC2"/>
    <w:rsid w:val="005C7E7C"/>
    <w:rsid w:val="005D5952"/>
    <w:rsid w:val="005D727F"/>
    <w:rsid w:val="005E0D90"/>
    <w:rsid w:val="005F38C2"/>
    <w:rsid w:val="005F646D"/>
    <w:rsid w:val="00600ABD"/>
    <w:rsid w:val="00601467"/>
    <w:rsid w:val="00602F6D"/>
    <w:rsid w:val="006048D0"/>
    <w:rsid w:val="00613701"/>
    <w:rsid w:val="006155D5"/>
    <w:rsid w:val="00615718"/>
    <w:rsid w:val="00623F06"/>
    <w:rsid w:val="0063099C"/>
    <w:rsid w:val="006319E7"/>
    <w:rsid w:val="00634811"/>
    <w:rsid w:val="006373D3"/>
    <w:rsid w:val="0064278E"/>
    <w:rsid w:val="0064583E"/>
    <w:rsid w:val="006461C9"/>
    <w:rsid w:val="00646A83"/>
    <w:rsid w:val="006474F3"/>
    <w:rsid w:val="00673861"/>
    <w:rsid w:val="00682C3F"/>
    <w:rsid w:val="00683355"/>
    <w:rsid w:val="006859C9"/>
    <w:rsid w:val="00690FE2"/>
    <w:rsid w:val="00692E2B"/>
    <w:rsid w:val="00693AA3"/>
    <w:rsid w:val="00696B19"/>
    <w:rsid w:val="006A074E"/>
    <w:rsid w:val="006A660A"/>
    <w:rsid w:val="006B1C85"/>
    <w:rsid w:val="006B5339"/>
    <w:rsid w:val="006C3BF7"/>
    <w:rsid w:val="006C3C63"/>
    <w:rsid w:val="006C6CD4"/>
    <w:rsid w:val="006C772A"/>
    <w:rsid w:val="006D55E7"/>
    <w:rsid w:val="006F05C8"/>
    <w:rsid w:val="00702092"/>
    <w:rsid w:val="007233E4"/>
    <w:rsid w:val="0072413C"/>
    <w:rsid w:val="007255A8"/>
    <w:rsid w:val="00725E05"/>
    <w:rsid w:val="0073038F"/>
    <w:rsid w:val="00731D4A"/>
    <w:rsid w:val="00734607"/>
    <w:rsid w:val="007372EE"/>
    <w:rsid w:val="007427E8"/>
    <w:rsid w:val="0074597B"/>
    <w:rsid w:val="007603A9"/>
    <w:rsid w:val="00764288"/>
    <w:rsid w:val="007722D3"/>
    <w:rsid w:val="00780333"/>
    <w:rsid w:val="00783FA7"/>
    <w:rsid w:val="00790D39"/>
    <w:rsid w:val="007A67FB"/>
    <w:rsid w:val="007A73AD"/>
    <w:rsid w:val="007B1A84"/>
    <w:rsid w:val="007B37A5"/>
    <w:rsid w:val="007B3E88"/>
    <w:rsid w:val="007B4770"/>
    <w:rsid w:val="007B5002"/>
    <w:rsid w:val="007B6E66"/>
    <w:rsid w:val="007C2826"/>
    <w:rsid w:val="007C628A"/>
    <w:rsid w:val="007D2DBB"/>
    <w:rsid w:val="007D589D"/>
    <w:rsid w:val="007D5910"/>
    <w:rsid w:val="007E3056"/>
    <w:rsid w:val="007E4AE7"/>
    <w:rsid w:val="007E7C1A"/>
    <w:rsid w:val="007F3266"/>
    <w:rsid w:val="007F7CC4"/>
    <w:rsid w:val="0080012D"/>
    <w:rsid w:val="00803CA0"/>
    <w:rsid w:val="00804F8A"/>
    <w:rsid w:val="00814686"/>
    <w:rsid w:val="00815F71"/>
    <w:rsid w:val="0081692F"/>
    <w:rsid w:val="00817F0B"/>
    <w:rsid w:val="0082139F"/>
    <w:rsid w:val="008223D6"/>
    <w:rsid w:val="00824739"/>
    <w:rsid w:val="00831A9F"/>
    <w:rsid w:val="00836F1A"/>
    <w:rsid w:val="0084039C"/>
    <w:rsid w:val="008425BC"/>
    <w:rsid w:val="0085008C"/>
    <w:rsid w:val="00850C37"/>
    <w:rsid w:val="008557D6"/>
    <w:rsid w:val="00860846"/>
    <w:rsid w:val="00860FF9"/>
    <w:rsid w:val="00865DF6"/>
    <w:rsid w:val="00867241"/>
    <w:rsid w:val="00876C95"/>
    <w:rsid w:val="00881EF3"/>
    <w:rsid w:val="00890DEC"/>
    <w:rsid w:val="00891456"/>
    <w:rsid w:val="00894728"/>
    <w:rsid w:val="008A2496"/>
    <w:rsid w:val="008C6BD0"/>
    <w:rsid w:val="008C7253"/>
    <w:rsid w:val="008C7AB4"/>
    <w:rsid w:val="008D41C3"/>
    <w:rsid w:val="008D5CC3"/>
    <w:rsid w:val="008F31AB"/>
    <w:rsid w:val="008F5B7D"/>
    <w:rsid w:val="008F67FF"/>
    <w:rsid w:val="009032F2"/>
    <w:rsid w:val="00906C25"/>
    <w:rsid w:val="00911E13"/>
    <w:rsid w:val="00916F80"/>
    <w:rsid w:val="00922F2F"/>
    <w:rsid w:val="0092505C"/>
    <w:rsid w:val="009275C1"/>
    <w:rsid w:val="009324BC"/>
    <w:rsid w:val="009462F1"/>
    <w:rsid w:val="009569AF"/>
    <w:rsid w:val="00961F83"/>
    <w:rsid w:val="0096399F"/>
    <w:rsid w:val="00967705"/>
    <w:rsid w:val="00973E80"/>
    <w:rsid w:val="00975CEC"/>
    <w:rsid w:val="009A2E1A"/>
    <w:rsid w:val="009A3486"/>
    <w:rsid w:val="009A420A"/>
    <w:rsid w:val="009B4730"/>
    <w:rsid w:val="009B7E5B"/>
    <w:rsid w:val="009B7F9E"/>
    <w:rsid w:val="009C2DF5"/>
    <w:rsid w:val="009C660C"/>
    <w:rsid w:val="009C6A11"/>
    <w:rsid w:val="009C77DD"/>
    <w:rsid w:val="009D2118"/>
    <w:rsid w:val="009D38B6"/>
    <w:rsid w:val="009D7112"/>
    <w:rsid w:val="009E2742"/>
    <w:rsid w:val="009E4881"/>
    <w:rsid w:val="009F455B"/>
    <w:rsid w:val="00A04D11"/>
    <w:rsid w:val="00A11BDA"/>
    <w:rsid w:val="00A14F4A"/>
    <w:rsid w:val="00A20BA6"/>
    <w:rsid w:val="00A2138A"/>
    <w:rsid w:val="00A31016"/>
    <w:rsid w:val="00A45ACD"/>
    <w:rsid w:val="00A5060E"/>
    <w:rsid w:val="00A613E4"/>
    <w:rsid w:val="00A6384D"/>
    <w:rsid w:val="00A643D1"/>
    <w:rsid w:val="00A67188"/>
    <w:rsid w:val="00A94478"/>
    <w:rsid w:val="00AA09FD"/>
    <w:rsid w:val="00AA518A"/>
    <w:rsid w:val="00AB2E2B"/>
    <w:rsid w:val="00AC2ECB"/>
    <w:rsid w:val="00AC425D"/>
    <w:rsid w:val="00AC6AEE"/>
    <w:rsid w:val="00AD25CC"/>
    <w:rsid w:val="00AE1EEA"/>
    <w:rsid w:val="00AF3000"/>
    <w:rsid w:val="00AF3B48"/>
    <w:rsid w:val="00AF57E4"/>
    <w:rsid w:val="00AF7208"/>
    <w:rsid w:val="00B04126"/>
    <w:rsid w:val="00B06EEF"/>
    <w:rsid w:val="00B12F77"/>
    <w:rsid w:val="00B13BF4"/>
    <w:rsid w:val="00B1711D"/>
    <w:rsid w:val="00B172A8"/>
    <w:rsid w:val="00B17924"/>
    <w:rsid w:val="00B23786"/>
    <w:rsid w:val="00B25AE1"/>
    <w:rsid w:val="00B26E99"/>
    <w:rsid w:val="00B30A67"/>
    <w:rsid w:val="00B32725"/>
    <w:rsid w:val="00B32819"/>
    <w:rsid w:val="00B35159"/>
    <w:rsid w:val="00B37409"/>
    <w:rsid w:val="00B409A9"/>
    <w:rsid w:val="00B40CBB"/>
    <w:rsid w:val="00B45066"/>
    <w:rsid w:val="00B46D31"/>
    <w:rsid w:val="00B47CAC"/>
    <w:rsid w:val="00B5001E"/>
    <w:rsid w:val="00B65D2C"/>
    <w:rsid w:val="00B710C2"/>
    <w:rsid w:val="00B72709"/>
    <w:rsid w:val="00B73FBE"/>
    <w:rsid w:val="00B76721"/>
    <w:rsid w:val="00B76E74"/>
    <w:rsid w:val="00B7767D"/>
    <w:rsid w:val="00B819B5"/>
    <w:rsid w:val="00B84C17"/>
    <w:rsid w:val="00B872AF"/>
    <w:rsid w:val="00BA26F0"/>
    <w:rsid w:val="00BC314D"/>
    <w:rsid w:val="00BC5579"/>
    <w:rsid w:val="00BC6160"/>
    <w:rsid w:val="00BD03BD"/>
    <w:rsid w:val="00BD08B4"/>
    <w:rsid w:val="00BE00D3"/>
    <w:rsid w:val="00BE111A"/>
    <w:rsid w:val="00BE31F6"/>
    <w:rsid w:val="00BE7B6C"/>
    <w:rsid w:val="00BF5247"/>
    <w:rsid w:val="00BF66AA"/>
    <w:rsid w:val="00C0575A"/>
    <w:rsid w:val="00C13BC8"/>
    <w:rsid w:val="00C25EB2"/>
    <w:rsid w:val="00C26E00"/>
    <w:rsid w:val="00C31B8D"/>
    <w:rsid w:val="00C3627F"/>
    <w:rsid w:val="00C44362"/>
    <w:rsid w:val="00C444AA"/>
    <w:rsid w:val="00C44F3E"/>
    <w:rsid w:val="00C63A3C"/>
    <w:rsid w:val="00C657E0"/>
    <w:rsid w:val="00C66B46"/>
    <w:rsid w:val="00C67514"/>
    <w:rsid w:val="00C7613D"/>
    <w:rsid w:val="00C775B9"/>
    <w:rsid w:val="00C82D88"/>
    <w:rsid w:val="00C84DEE"/>
    <w:rsid w:val="00C95A48"/>
    <w:rsid w:val="00C962FF"/>
    <w:rsid w:val="00CA5FB2"/>
    <w:rsid w:val="00CB20FB"/>
    <w:rsid w:val="00CB305F"/>
    <w:rsid w:val="00CC1B8B"/>
    <w:rsid w:val="00CC26DB"/>
    <w:rsid w:val="00CD450C"/>
    <w:rsid w:val="00CE1437"/>
    <w:rsid w:val="00CF0B57"/>
    <w:rsid w:val="00CF4FE9"/>
    <w:rsid w:val="00D01458"/>
    <w:rsid w:val="00D03B25"/>
    <w:rsid w:val="00D045A2"/>
    <w:rsid w:val="00D10848"/>
    <w:rsid w:val="00D13741"/>
    <w:rsid w:val="00D1496C"/>
    <w:rsid w:val="00D1656C"/>
    <w:rsid w:val="00D17B67"/>
    <w:rsid w:val="00D22F77"/>
    <w:rsid w:val="00D256F5"/>
    <w:rsid w:val="00D300F0"/>
    <w:rsid w:val="00D31039"/>
    <w:rsid w:val="00D332F0"/>
    <w:rsid w:val="00D34749"/>
    <w:rsid w:val="00D348EB"/>
    <w:rsid w:val="00D419A0"/>
    <w:rsid w:val="00D572D0"/>
    <w:rsid w:val="00D67039"/>
    <w:rsid w:val="00D7016F"/>
    <w:rsid w:val="00D72028"/>
    <w:rsid w:val="00D7280D"/>
    <w:rsid w:val="00D74359"/>
    <w:rsid w:val="00D833A6"/>
    <w:rsid w:val="00D903F5"/>
    <w:rsid w:val="00D94B39"/>
    <w:rsid w:val="00D961D5"/>
    <w:rsid w:val="00DA429B"/>
    <w:rsid w:val="00DA470D"/>
    <w:rsid w:val="00DA6247"/>
    <w:rsid w:val="00DC55BF"/>
    <w:rsid w:val="00DD2303"/>
    <w:rsid w:val="00DE10B8"/>
    <w:rsid w:val="00DE1488"/>
    <w:rsid w:val="00DE1B15"/>
    <w:rsid w:val="00DE3C26"/>
    <w:rsid w:val="00DE40C3"/>
    <w:rsid w:val="00DE5915"/>
    <w:rsid w:val="00DE60C6"/>
    <w:rsid w:val="00DE7A81"/>
    <w:rsid w:val="00DF0E26"/>
    <w:rsid w:val="00DF109B"/>
    <w:rsid w:val="00E04CC4"/>
    <w:rsid w:val="00E06B89"/>
    <w:rsid w:val="00E10A92"/>
    <w:rsid w:val="00E11C2A"/>
    <w:rsid w:val="00E138D2"/>
    <w:rsid w:val="00E16E2C"/>
    <w:rsid w:val="00E23645"/>
    <w:rsid w:val="00E241B6"/>
    <w:rsid w:val="00E33E7A"/>
    <w:rsid w:val="00E4137C"/>
    <w:rsid w:val="00E4324B"/>
    <w:rsid w:val="00E50E5F"/>
    <w:rsid w:val="00E544AF"/>
    <w:rsid w:val="00E65E05"/>
    <w:rsid w:val="00E679B9"/>
    <w:rsid w:val="00E80768"/>
    <w:rsid w:val="00E82027"/>
    <w:rsid w:val="00E82DE6"/>
    <w:rsid w:val="00E86985"/>
    <w:rsid w:val="00E90228"/>
    <w:rsid w:val="00E91373"/>
    <w:rsid w:val="00E91D1A"/>
    <w:rsid w:val="00E931A6"/>
    <w:rsid w:val="00EA1D87"/>
    <w:rsid w:val="00EA7C90"/>
    <w:rsid w:val="00EB51AA"/>
    <w:rsid w:val="00EC0CDA"/>
    <w:rsid w:val="00EC2455"/>
    <w:rsid w:val="00ED61EE"/>
    <w:rsid w:val="00ED74F5"/>
    <w:rsid w:val="00EE4255"/>
    <w:rsid w:val="00EE742F"/>
    <w:rsid w:val="00EF106E"/>
    <w:rsid w:val="00EF69F3"/>
    <w:rsid w:val="00F01E94"/>
    <w:rsid w:val="00F020F5"/>
    <w:rsid w:val="00F02A4F"/>
    <w:rsid w:val="00F040CB"/>
    <w:rsid w:val="00F0610E"/>
    <w:rsid w:val="00F14A2A"/>
    <w:rsid w:val="00F14C53"/>
    <w:rsid w:val="00F17FCD"/>
    <w:rsid w:val="00F341DD"/>
    <w:rsid w:val="00F41F95"/>
    <w:rsid w:val="00F46C9C"/>
    <w:rsid w:val="00F503F8"/>
    <w:rsid w:val="00F510B0"/>
    <w:rsid w:val="00F5653E"/>
    <w:rsid w:val="00F631C2"/>
    <w:rsid w:val="00F66F8A"/>
    <w:rsid w:val="00F726A1"/>
    <w:rsid w:val="00F81773"/>
    <w:rsid w:val="00F82491"/>
    <w:rsid w:val="00F84425"/>
    <w:rsid w:val="00F847DE"/>
    <w:rsid w:val="00F9097A"/>
    <w:rsid w:val="00F97282"/>
    <w:rsid w:val="00F97F9C"/>
    <w:rsid w:val="00FA1380"/>
    <w:rsid w:val="00FA3FF5"/>
    <w:rsid w:val="00FA4B70"/>
    <w:rsid w:val="00FA6DE3"/>
    <w:rsid w:val="00FB2867"/>
    <w:rsid w:val="00FB5DC5"/>
    <w:rsid w:val="00FB6973"/>
    <w:rsid w:val="00FC0A88"/>
    <w:rsid w:val="00FC5DEB"/>
    <w:rsid w:val="00FD74B0"/>
    <w:rsid w:val="00FD7648"/>
    <w:rsid w:val="00FE42B0"/>
    <w:rsid w:val="00FF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914AB"/>
  <w15:docId w15:val="{FD35D3F3-7F96-43EF-B702-2461AA8B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478"/>
    <w:pPr>
      <w:widowControl w:val="0"/>
      <w:jc w:val="both"/>
    </w:pPr>
    <w:rPr>
      <w:kern w:val="2"/>
      <w:sz w:val="21"/>
      <w:szCs w:val="24"/>
    </w:rPr>
  </w:style>
  <w:style w:type="paragraph" w:styleId="1">
    <w:name w:val="heading 1"/>
    <w:basedOn w:val="a"/>
    <w:qFormat/>
    <w:rsid w:val="00975CE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6721"/>
    <w:rPr>
      <w:color w:val="0000FF"/>
      <w:u w:val="single"/>
    </w:rPr>
  </w:style>
  <w:style w:type="character" w:styleId="a4">
    <w:name w:val="FollowedHyperlink"/>
    <w:basedOn w:val="a0"/>
    <w:rsid w:val="00B76721"/>
    <w:rPr>
      <w:color w:val="800080"/>
      <w:u w:val="single"/>
    </w:rPr>
  </w:style>
  <w:style w:type="character" w:customStyle="1" w:styleId="maintext1">
    <w:name w:val="maintext1"/>
    <w:basedOn w:val="a0"/>
    <w:rsid w:val="00D7016F"/>
  </w:style>
  <w:style w:type="character" w:customStyle="1" w:styleId="ask-title">
    <w:name w:val="ask-title"/>
    <w:basedOn w:val="a0"/>
    <w:rsid w:val="00975CEC"/>
  </w:style>
  <w:style w:type="paragraph" w:styleId="HTML">
    <w:name w:val="HTML Preformatted"/>
    <w:basedOn w:val="a"/>
    <w:link w:val="HTML0"/>
    <w:uiPriority w:val="99"/>
    <w:rsid w:val="00975C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5">
    <w:name w:val="header"/>
    <w:basedOn w:val="a"/>
    <w:link w:val="a6"/>
    <w:rsid w:val="00B1711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1711D"/>
    <w:rPr>
      <w:kern w:val="2"/>
      <w:sz w:val="18"/>
      <w:szCs w:val="18"/>
    </w:rPr>
  </w:style>
  <w:style w:type="paragraph" w:styleId="a7">
    <w:name w:val="footer"/>
    <w:basedOn w:val="a"/>
    <w:link w:val="a8"/>
    <w:rsid w:val="00B1711D"/>
    <w:pPr>
      <w:tabs>
        <w:tab w:val="center" w:pos="4153"/>
        <w:tab w:val="right" w:pos="8306"/>
      </w:tabs>
      <w:snapToGrid w:val="0"/>
      <w:jc w:val="left"/>
    </w:pPr>
    <w:rPr>
      <w:sz w:val="18"/>
      <w:szCs w:val="18"/>
    </w:rPr>
  </w:style>
  <w:style w:type="character" w:customStyle="1" w:styleId="a8">
    <w:name w:val="页脚 字符"/>
    <w:basedOn w:val="a0"/>
    <w:link w:val="a7"/>
    <w:rsid w:val="00B1711D"/>
    <w:rPr>
      <w:kern w:val="2"/>
      <w:sz w:val="18"/>
      <w:szCs w:val="18"/>
    </w:rPr>
  </w:style>
  <w:style w:type="character" w:styleId="a9">
    <w:name w:val="annotation reference"/>
    <w:basedOn w:val="a0"/>
    <w:rsid w:val="00D10848"/>
    <w:rPr>
      <w:sz w:val="21"/>
      <w:szCs w:val="21"/>
    </w:rPr>
  </w:style>
  <w:style w:type="paragraph" w:styleId="aa">
    <w:name w:val="annotation text"/>
    <w:basedOn w:val="a"/>
    <w:link w:val="ab"/>
    <w:rsid w:val="00D10848"/>
    <w:pPr>
      <w:jc w:val="left"/>
    </w:pPr>
  </w:style>
  <w:style w:type="character" w:customStyle="1" w:styleId="ab">
    <w:name w:val="批注文字 字符"/>
    <w:basedOn w:val="a0"/>
    <w:link w:val="aa"/>
    <w:rsid w:val="00D10848"/>
    <w:rPr>
      <w:kern w:val="2"/>
      <w:sz w:val="21"/>
      <w:szCs w:val="24"/>
    </w:rPr>
  </w:style>
  <w:style w:type="paragraph" w:styleId="ac">
    <w:name w:val="annotation subject"/>
    <w:basedOn w:val="aa"/>
    <w:next w:val="aa"/>
    <w:link w:val="ad"/>
    <w:rsid w:val="00D10848"/>
    <w:rPr>
      <w:b/>
      <w:bCs/>
    </w:rPr>
  </w:style>
  <w:style w:type="character" w:customStyle="1" w:styleId="ad">
    <w:name w:val="批注主题 字符"/>
    <w:basedOn w:val="ab"/>
    <w:link w:val="ac"/>
    <w:rsid w:val="00D10848"/>
    <w:rPr>
      <w:b/>
      <w:bCs/>
      <w:kern w:val="2"/>
      <w:sz w:val="21"/>
      <w:szCs w:val="24"/>
    </w:rPr>
  </w:style>
  <w:style w:type="paragraph" w:styleId="ae">
    <w:name w:val="Balloon Text"/>
    <w:basedOn w:val="a"/>
    <w:link w:val="af"/>
    <w:rsid w:val="00D10848"/>
    <w:rPr>
      <w:sz w:val="18"/>
      <w:szCs w:val="18"/>
    </w:rPr>
  </w:style>
  <w:style w:type="character" w:customStyle="1" w:styleId="af">
    <w:name w:val="批注框文本 字符"/>
    <w:basedOn w:val="a0"/>
    <w:link w:val="ae"/>
    <w:rsid w:val="00D10848"/>
    <w:rPr>
      <w:kern w:val="2"/>
      <w:sz w:val="18"/>
      <w:szCs w:val="18"/>
    </w:rPr>
  </w:style>
  <w:style w:type="character" w:styleId="af0">
    <w:name w:val="Strong"/>
    <w:basedOn w:val="a0"/>
    <w:uiPriority w:val="22"/>
    <w:qFormat/>
    <w:rsid w:val="009A2E1A"/>
    <w:rPr>
      <w:b/>
      <w:bCs/>
    </w:rPr>
  </w:style>
  <w:style w:type="character" w:customStyle="1" w:styleId="HTML0">
    <w:name w:val="HTML 预设格式 字符"/>
    <w:basedOn w:val="a0"/>
    <w:link w:val="HTML"/>
    <w:uiPriority w:val="99"/>
    <w:rsid w:val="00865DF6"/>
    <w:rPr>
      <w:rFonts w:ascii="宋体" w:hAnsi="宋体" w:cs="宋体"/>
      <w:sz w:val="24"/>
      <w:szCs w:val="24"/>
    </w:rPr>
  </w:style>
  <w:style w:type="character" w:customStyle="1" w:styleId="apple-converted-space">
    <w:name w:val="apple-converted-space"/>
    <w:basedOn w:val="a0"/>
    <w:rsid w:val="007603A9"/>
  </w:style>
  <w:style w:type="paragraph" w:customStyle="1" w:styleId="Default">
    <w:name w:val="Default"/>
    <w:rsid w:val="00440F3A"/>
    <w:pPr>
      <w:widowControl w:val="0"/>
      <w:autoSpaceDE w:val="0"/>
      <w:autoSpaceDN w:val="0"/>
      <w:adjustRightInd w:val="0"/>
    </w:pPr>
    <w:rPr>
      <w:rFonts w:ascii="宋体" w:hAnsi="宋体" w:cs="宋体"/>
      <w:color w:val="000000"/>
      <w:sz w:val="24"/>
      <w:szCs w:val="24"/>
    </w:rPr>
  </w:style>
  <w:style w:type="paragraph" w:styleId="af1">
    <w:name w:val="footnote text"/>
    <w:basedOn w:val="a"/>
    <w:link w:val="af2"/>
    <w:rsid w:val="00E33E7A"/>
    <w:pPr>
      <w:snapToGrid w:val="0"/>
      <w:jc w:val="left"/>
    </w:pPr>
    <w:rPr>
      <w:sz w:val="18"/>
      <w:szCs w:val="18"/>
    </w:rPr>
  </w:style>
  <w:style w:type="character" w:customStyle="1" w:styleId="af2">
    <w:name w:val="脚注文本 字符"/>
    <w:basedOn w:val="a0"/>
    <w:link w:val="af1"/>
    <w:rsid w:val="00E33E7A"/>
    <w:rPr>
      <w:kern w:val="2"/>
      <w:sz w:val="18"/>
      <w:szCs w:val="18"/>
    </w:rPr>
  </w:style>
  <w:style w:type="character" w:styleId="af3">
    <w:name w:val="footnote reference"/>
    <w:basedOn w:val="a0"/>
    <w:rsid w:val="00E33E7A"/>
    <w:rPr>
      <w:vertAlign w:val="superscript"/>
    </w:rPr>
  </w:style>
  <w:style w:type="character" w:styleId="af4">
    <w:name w:val="page number"/>
    <w:basedOn w:val="a0"/>
    <w:rsid w:val="00C13BC8"/>
  </w:style>
  <w:style w:type="paragraph" w:styleId="af5">
    <w:name w:val="Plain Text"/>
    <w:basedOn w:val="a"/>
    <w:link w:val="af6"/>
    <w:rsid w:val="00CB20FB"/>
    <w:rPr>
      <w:rFonts w:ascii="宋体" w:hAnsi="Courier New" w:cs="Courier New"/>
      <w:szCs w:val="21"/>
    </w:rPr>
  </w:style>
  <w:style w:type="character" w:customStyle="1" w:styleId="af6">
    <w:name w:val="纯文本 字符"/>
    <w:basedOn w:val="a0"/>
    <w:link w:val="af5"/>
    <w:rsid w:val="00CB20FB"/>
    <w:rPr>
      <w:rFonts w:ascii="宋体" w:hAnsi="Courier New" w:cs="Courier New"/>
      <w:kern w:val="2"/>
      <w:sz w:val="21"/>
      <w:szCs w:val="21"/>
    </w:rPr>
  </w:style>
  <w:style w:type="paragraph" w:styleId="af7">
    <w:name w:val="Body Text Indent"/>
    <w:basedOn w:val="a"/>
    <w:link w:val="af8"/>
    <w:qFormat/>
    <w:rsid w:val="008557D6"/>
    <w:pPr>
      <w:ind w:left="480"/>
    </w:pPr>
    <w:rPr>
      <w:rFonts w:eastAsia="仿宋_GB2312"/>
      <w:sz w:val="24"/>
    </w:rPr>
  </w:style>
  <w:style w:type="character" w:customStyle="1" w:styleId="af8">
    <w:name w:val="正文文本缩进 字符"/>
    <w:basedOn w:val="a0"/>
    <w:link w:val="af7"/>
    <w:qFormat/>
    <w:rsid w:val="008557D6"/>
    <w:rPr>
      <w:rFonts w:eastAsia="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97403">
      <w:bodyDiv w:val="1"/>
      <w:marLeft w:val="0"/>
      <w:marRight w:val="0"/>
      <w:marTop w:val="0"/>
      <w:marBottom w:val="0"/>
      <w:divBdr>
        <w:top w:val="none" w:sz="0" w:space="0" w:color="auto"/>
        <w:left w:val="none" w:sz="0" w:space="0" w:color="auto"/>
        <w:bottom w:val="none" w:sz="0" w:space="0" w:color="auto"/>
        <w:right w:val="none" w:sz="0" w:space="0" w:color="auto"/>
      </w:divBdr>
    </w:div>
    <w:div w:id="804154417">
      <w:bodyDiv w:val="1"/>
      <w:marLeft w:val="0"/>
      <w:marRight w:val="0"/>
      <w:marTop w:val="0"/>
      <w:marBottom w:val="0"/>
      <w:divBdr>
        <w:top w:val="none" w:sz="0" w:space="0" w:color="auto"/>
        <w:left w:val="none" w:sz="0" w:space="0" w:color="auto"/>
        <w:bottom w:val="none" w:sz="0" w:space="0" w:color="auto"/>
        <w:right w:val="none" w:sz="0" w:space="0" w:color="auto"/>
      </w:divBdr>
    </w:div>
    <w:div w:id="913659813">
      <w:bodyDiv w:val="1"/>
      <w:marLeft w:val="0"/>
      <w:marRight w:val="0"/>
      <w:marTop w:val="0"/>
      <w:marBottom w:val="0"/>
      <w:divBdr>
        <w:top w:val="none" w:sz="0" w:space="0" w:color="auto"/>
        <w:left w:val="none" w:sz="0" w:space="0" w:color="auto"/>
        <w:bottom w:val="none" w:sz="0" w:space="0" w:color="auto"/>
        <w:right w:val="none" w:sz="0" w:space="0" w:color="auto"/>
      </w:divBdr>
    </w:div>
    <w:div w:id="204389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73E5E-449A-4BF8-A3E2-0E7C7113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9</Pages>
  <Words>709</Words>
  <Characters>4042</Characters>
  <Application>Microsoft Office Word</Application>
  <DocSecurity>0</DocSecurity>
  <Lines>33</Lines>
  <Paragraphs>9</Paragraphs>
  <ScaleCrop>false</ScaleCrop>
  <Company>Hewlett-Packard Company</Company>
  <LinksUpToDate>false</LinksUpToDate>
  <CharactersWithSpaces>4742</CharactersWithSpaces>
  <SharedDoc>false</SharedDoc>
  <HLinks>
    <vt:vector size="6" baseType="variant">
      <vt:variant>
        <vt:i4>5373964</vt:i4>
      </vt:variant>
      <vt:variant>
        <vt:i4>0</vt:i4>
      </vt:variant>
      <vt:variant>
        <vt:i4>0</vt:i4>
      </vt:variant>
      <vt:variant>
        <vt:i4>5</vt:i4>
      </vt:variant>
      <vt:variant>
        <vt:lpwstr>http://baike.baidu.com/view/81602.htm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东华大学计算机软件管理办法</dc:title>
  <dc:creator>s</dc:creator>
  <cp:lastModifiedBy>桑惠兰</cp:lastModifiedBy>
  <cp:revision>117</cp:revision>
  <cp:lastPrinted>2018-03-08T00:34:00Z</cp:lastPrinted>
  <dcterms:created xsi:type="dcterms:W3CDTF">2015-11-05T01:16:00Z</dcterms:created>
  <dcterms:modified xsi:type="dcterms:W3CDTF">2023-01-06T05:52:00Z</dcterms:modified>
</cp:coreProperties>
</file>